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D15" w14:textId="01F19073" w:rsidR="00E922BB" w:rsidRPr="006F6088" w:rsidRDefault="00E922BB" w:rsidP="006F6088">
      <w:pPr>
        <w:spacing w:line="276" w:lineRule="auto"/>
        <w:jc w:val="center"/>
        <w:rPr>
          <w:rFonts w:ascii="Arial" w:hAnsi="Arial" w:cs="Arial"/>
          <w:sz w:val="22"/>
          <w:szCs w:val="22"/>
          <w:lang w:val="sl-SI"/>
        </w:rPr>
      </w:pPr>
      <w:r w:rsidRPr="006F6088">
        <w:rPr>
          <w:rFonts w:ascii="Arial" w:hAnsi="Arial" w:cs="Arial"/>
          <w:sz w:val="22"/>
          <w:szCs w:val="22"/>
          <w:lang w:val="sl-SI"/>
        </w:rPr>
        <w:t>Focus, društvo za sonaraven razvoj in In</w:t>
      </w:r>
      <w:r w:rsidR="000A19A5" w:rsidRPr="006F6088">
        <w:rPr>
          <w:rFonts w:ascii="Arial" w:hAnsi="Arial" w:cs="Arial"/>
          <w:sz w:val="22"/>
          <w:szCs w:val="22"/>
          <w:lang w:val="sl-SI"/>
        </w:rPr>
        <w:t>s</w:t>
      </w:r>
      <w:r w:rsidRPr="006F6088">
        <w:rPr>
          <w:rFonts w:ascii="Arial" w:hAnsi="Arial" w:cs="Arial"/>
          <w:sz w:val="22"/>
          <w:szCs w:val="22"/>
          <w:lang w:val="sl-SI"/>
        </w:rPr>
        <w:t>titut Jožef Stefan, Center za energetsko učinkovitost vas vabi</w:t>
      </w:r>
      <w:r w:rsidR="000A19A5" w:rsidRPr="006F6088">
        <w:rPr>
          <w:rFonts w:ascii="Arial" w:hAnsi="Arial" w:cs="Arial"/>
          <w:sz w:val="22"/>
          <w:szCs w:val="22"/>
          <w:lang w:val="sl-SI"/>
        </w:rPr>
        <w:t>ta</w:t>
      </w:r>
      <w:r w:rsidRPr="006F6088">
        <w:rPr>
          <w:rFonts w:ascii="Arial" w:hAnsi="Arial" w:cs="Arial"/>
          <w:sz w:val="22"/>
          <w:szCs w:val="22"/>
          <w:lang w:val="sl-SI"/>
        </w:rPr>
        <w:t xml:space="preserve"> na </w:t>
      </w:r>
    </w:p>
    <w:p w14:paraId="170C9175" w14:textId="77777777" w:rsidR="00E922BB" w:rsidRDefault="00E922BB" w:rsidP="005C7A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9098703" w14:textId="553A6ADB" w:rsidR="00B108A3" w:rsidRDefault="00EF7B2A" w:rsidP="005C7A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zaključno </w:t>
      </w:r>
      <w:r w:rsidR="00857D5C" w:rsidRPr="00E922BB">
        <w:rPr>
          <w:rFonts w:ascii="Arial" w:hAnsi="Arial" w:cs="Arial"/>
          <w:b/>
          <w:bCs/>
          <w:sz w:val="22"/>
          <w:szCs w:val="22"/>
          <w:lang w:val="sl-SI"/>
        </w:rPr>
        <w:t>delavnico</w:t>
      </w:r>
    </w:p>
    <w:p w14:paraId="3D222DFF" w14:textId="77777777" w:rsidR="00821DB6" w:rsidRPr="00E922BB" w:rsidRDefault="00821DB6" w:rsidP="005C7A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F575DEA" w14:textId="4FAA61EB" w:rsidR="0093366F" w:rsidRDefault="0093366F" w:rsidP="00E922BB">
      <w:pPr>
        <w:spacing w:line="276" w:lineRule="auto"/>
        <w:jc w:val="center"/>
        <w:rPr>
          <w:rFonts w:ascii="Arial" w:eastAsia="Arial" w:hAnsi="Arial" w:cs="Arial"/>
          <w:b/>
          <w:color w:val="339966"/>
          <w:sz w:val="32"/>
          <w:szCs w:val="32"/>
          <w:lang w:val="sl-SI"/>
        </w:rPr>
      </w:pPr>
      <w:r w:rsidRPr="00E922BB">
        <w:rPr>
          <w:rFonts w:ascii="Arial" w:eastAsia="Arial" w:hAnsi="Arial" w:cs="Arial"/>
          <w:b/>
          <w:color w:val="339966"/>
          <w:sz w:val="32"/>
          <w:szCs w:val="32"/>
          <w:lang w:val="sl-SI"/>
        </w:rPr>
        <w:t>Nadgradnja lokalnih energetskih konceptov</w:t>
      </w:r>
    </w:p>
    <w:p w14:paraId="567B5A0C" w14:textId="77777777" w:rsidR="00821DB6" w:rsidRPr="00E922BB" w:rsidRDefault="00821DB6" w:rsidP="00E922BB">
      <w:pPr>
        <w:spacing w:line="276" w:lineRule="auto"/>
        <w:jc w:val="center"/>
        <w:rPr>
          <w:rFonts w:ascii="Arial" w:eastAsia="Arial" w:hAnsi="Arial" w:cs="Arial"/>
          <w:b/>
          <w:color w:val="339966"/>
          <w:sz w:val="32"/>
          <w:szCs w:val="32"/>
          <w:lang w:val="sl-SI"/>
        </w:rPr>
      </w:pPr>
    </w:p>
    <w:p w14:paraId="5147EB5B" w14:textId="2402BF78" w:rsidR="00857D5C" w:rsidRPr="00E922BB" w:rsidRDefault="003D1B18" w:rsidP="006664D7">
      <w:pPr>
        <w:spacing w:line="276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</w:t>
      </w:r>
      <w:r w:rsidR="00E922BB">
        <w:rPr>
          <w:rFonts w:ascii="Arial" w:hAnsi="Arial" w:cs="Arial"/>
          <w:sz w:val="22"/>
          <w:szCs w:val="22"/>
          <w:lang w:val="sl-SI"/>
        </w:rPr>
        <w:t xml:space="preserve">i bo potekala </w:t>
      </w:r>
      <w:r w:rsidR="00857D5C" w:rsidRPr="00E922BB">
        <w:rPr>
          <w:rFonts w:ascii="Arial" w:hAnsi="Arial" w:cs="Arial"/>
          <w:sz w:val="22"/>
          <w:szCs w:val="22"/>
          <w:lang w:val="sl-SI"/>
        </w:rPr>
        <w:t xml:space="preserve">v </w:t>
      </w:r>
      <w:r w:rsidR="002834DF" w:rsidRPr="008F2553">
        <w:rPr>
          <w:rFonts w:ascii="Arial" w:hAnsi="Arial" w:cs="Arial"/>
          <w:b/>
          <w:bCs/>
          <w:sz w:val="22"/>
          <w:szCs w:val="22"/>
          <w:lang w:val="sl-SI"/>
        </w:rPr>
        <w:t>četrtek</w:t>
      </w:r>
      <w:r w:rsidR="0093366F" w:rsidRPr="008F2553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857D5C" w:rsidRPr="008F2553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2834DF" w:rsidRPr="008F2553">
        <w:rPr>
          <w:rFonts w:ascii="Arial" w:hAnsi="Arial" w:cs="Arial"/>
          <w:b/>
          <w:bCs/>
          <w:sz w:val="22"/>
          <w:szCs w:val="22"/>
          <w:lang w:val="sl-SI"/>
        </w:rPr>
        <w:t>7</w:t>
      </w:r>
      <w:r w:rsidR="0093366F" w:rsidRPr="008F2553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="00EF7B2A" w:rsidRPr="008F2553">
        <w:rPr>
          <w:rFonts w:ascii="Arial" w:hAnsi="Arial" w:cs="Arial"/>
          <w:b/>
          <w:bCs/>
          <w:sz w:val="22"/>
          <w:szCs w:val="22"/>
          <w:lang w:val="sl-SI"/>
        </w:rPr>
        <w:t>12</w:t>
      </w:r>
      <w:r w:rsidR="0093366F" w:rsidRPr="008F2553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="00857D5C" w:rsidRPr="008F2553">
        <w:rPr>
          <w:rFonts w:ascii="Arial" w:hAnsi="Arial" w:cs="Arial"/>
          <w:b/>
          <w:bCs/>
          <w:sz w:val="22"/>
          <w:szCs w:val="22"/>
          <w:lang w:val="sl-SI"/>
        </w:rPr>
        <w:t>202</w:t>
      </w:r>
      <w:r w:rsidR="0093366F" w:rsidRPr="008F2553">
        <w:rPr>
          <w:rFonts w:ascii="Arial" w:hAnsi="Arial" w:cs="Arial"/>
          <w:b/>
          <w:bCs/>
          <w:sz w:val="22"/>
          <w:szCs w:val="22"/>
          <w:lang w:val="sl-SI"/>
        </w:rPr>
        <w:t>3</w:t>
      </w:r>
      <w:r w:rsidR="005C7A99" w:rsidRPr="008F2553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857D5C" w:rsidRPr="008F2553">
        <w:rPr>
          <w:rFonts w:ascii="Arial" w:hAnsi="Arial" w:cs="Arial"/>
          <w:b/>
          <w:bCs/>
          <w:sz w:val="22"/>
          <w:szCs w:val="22"/>
          <w:lang w:val="sl-SI"/>
        </w:rPr>
        <w:t xml:space="preserve"> med 9. </w:t>
      </w:r>
      <w:r w:rsidR="00BF2B4A" w:rsidRPr="008F2553">
        <w:rPr>
          <w:rFonts w:ascii="Arial" w:hAnsi="Arial" w:cs="Arial"/>
          <w:b/>
          <w:bCs/>
          <w:sz w:val="22"/>
          <w:szCs w:val="22"/>
          <w:lang w:val="sl-SI"/>
        </w:rPr>
        <w:t>i</w:t>
      </w:r>
      <w:r w:rsidR="00857D5C" w:rsidRPr="008F2553">
        <w:rPr>
          <w:rFonts w:ascii="Arial" w:hAnsi="Arial" w:cs="Arial"/>
          <w:b/>
          <w:bCs/>
          <w:sz w:val="22"/>
          <w:szCs w:val="22"/>
          <w:lang w:val="sl-SI"/>
        </w:rPr>
        <w:t>n 1</w:t>
      </w:r>
      <w:r w:rsidR="00EF7B2A" w:rsidRPr="008F2553">
        <w:rPr>
          <w:rFonts w:ascii="Arial" w:hAnsi="Arial" w:cs="Arial"/>
          <w:b/>
          <w:bCs/>
          <w:sz w:val="22"/>
          <w:szCs w:val="22"/>
          <w:lang w:val="sl-SI"/>
        </w:rPr>
        <w:t>3</w:t>
      </w:r>
      <w:r w:rsidR="00857D5C" w:rsidRPr="008F2553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="0093366F" w:rsidRPr="008F2553">
        <w:rPr>
          <w:rFonts w:ascii="Arial" w:hAnsi="Arial" w:cs="Arial"/>
          <w:b/>
          <w:bCs/>
          <w:sz w:val="22"/>
          <w:szCs w:val="22"/>
          <w:lang w:val="sl-SI"/>
        </w:rPr>
        <w:t>uro</w:t>
      </w:r>
      <w:r w:rsidR="00821B18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5C7A99" w:rsidRPr="00E922BB">
        <w:rPr>
          <w:rFonts w:ascii="Arial" w:hAnsi="Arial" w:cs="Arial"/>
          <w:sz w:val="22"/>
          <w:szCs w:val="22"/>
          <w:lang w:val="sl-SI"/>
        </w:rPr>
        <w:t xml:space="preserve"> v</w:t>
      </w:r>
      <w:r w:rsidR="0093366F" w:rsidRPr="00E922BB">
        <w:rPr>
          <w:rFonts w:ascii="Arial" w:hAnsi="Arial" w:cs="Arial"/>
          <w:sz w:val="22"/>
          <w:szCs w:val="22"/>
          <w:lang w:val="sl-SI"/>
        </w:rPr>
        <w:t xml:space="preserve"> </w:t>
      </w:r>
      <w:r w:rsidR="00EF7B2A">
        <w:rPr>
          <w:rFonts w:ascii="Arial" w:hAnsi="Arial" w:cs="Arial"/>
          <w:sz w:val="22"/>
          <w:szCs w:val="22"/>
          <w:lang w:val="sl-SI"/>
        </w:rPr>
        <w:t>prostorih Slovenskega etnografskega muzeja, v Ljubljani, Metelkova 2</w:t>
      </w:r>
      <w:r w:rsidR="00E922BB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13B38845" w14:textId="73272EDC" w:rsidR="00DB2BA0" w:rsidRPr="00E922BB" w:rsidRDefault="00DB2BA0" w:rsidP="006664D7">
      <w:pPr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val="sl-SI" w:eastAsia="sl-SI"/>
        </w:rPr>
      </w:pPr>
    </w:p>
    <w:p w14:paraId="08167366" w14:textId="29AB9F97" w:rsidR="00FD00FB" w:rsidRDefault="000A19A5" w:rsidP="00A53DFF">
      <w:pPr>
        <w:jc w:val="both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S tem dogodkom zaključujemo serijo </w:t>
      </w:r>
      <w:r w:rsidR="006C11DF">
        <w:rPr>
          <w:rFonts w:ascii="Arial" w:eastAsia="Times New Roman" w:hAnsi="Arial" w:cs="Arial"/>
          <w:sz w:val="22"/>
          <w:szCs w:val="22"/>
          <w:lang w:val="sl-SI" w:eastAsia="sl-SI"/>
        </w:rPr>
        <w:t>osmih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delavnic</w:t>
      </w:r>
      <w:r w:rsidR="006C11D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posvečenih nadgradnji lokalnih energetskih konceptov (LEK). 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 xml:space="preserve">Njihov osrednji namen 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je </w:t>
      </w:r>
      <w:r w:rsidR="006C11D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bil 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 xml:space="preserve">pritegniti 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>lokaln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e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skupnosti, 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>pripravljavce LEK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>,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>izvajalce gospodarskih javnih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služb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>, energetsk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a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podjet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ja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in drug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e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  <w:r w:rsidR="0093366F" w:rsidRPr="00E922BB">
        <w:rPr>
          <w:rFonts w:ascii="Arial" w:eastAsia="Times New Roman" w:hAnsi="Arial" w:cs="Arial"/>
          <w:sz w:val="22"/>
          <w:szCs w:val="22"/>
          <w:lang w:val="sl-SI" w:eastAsia="sl-SI"/>
        </w:rPr>
        <w:t>deležnik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e</w:t>
      </w:r>
      <w:r w:rsidR="00D05DDA">
        <w:rPr>
          <w:rFonts w:ascii="Arial" w:eastAsia="Times New Roman" w:hAnsi="Arial" w:cs="Arial"/>
          <w:sz w:val="22"/>
          <w:szCs w:val="22"/>
          <w:lang w:val="sl-SI" w:eastAsia="sl-SI"/>
        </w:rPr>
        <w:t xml:space="preserve">, ki </w:t>
      </w:r>
      <w:r w:rsidR="006C11D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se v različnih vlogah srečujejo z </w:t>
      </w:r>
      <w:r w:rsidR="00D05DDA">
        <w:rPr>
          <w:rFonts w:ascii="Arial" w:eastAsia="Times New Roman" w:hAnsi="Arial" w:cs="Arial"/>
          <w:sz w:val="22"/>
          <w:szCs w:val="22"/>
          <w:lang w:val="sl-SI" w:eastAsia="sl-SI"/>
        </w:rPr>
        <w:t>izdelavo in izvajanje</w:t>
      </w:r>
      <w:r w:rsidR="006C11DF">
        <w:rPr>
          <w:rFonts w:ascii="Arial" w:eastAsia="Times New Roman" w:hAnsi="Arial" w:cs="Arial"/>
          <w:sz w:val="22"/>
          <w:szCs w:val="22"/>
          <w:lang w:val="sl-SI" w:eastAsia="sl-SI"/>
        </w:rPr>
        <w:t>m</w:t>
      </w:r>
      <w:r w:rsidR="00D05DDA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LEK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, k procesu 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 xml:space="preserve">izboljševanja 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trenutne ureditve na področju 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lokaln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>ega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energetske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>ga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načrtovanja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>in</w:t>
      </w:r>
      <w:r w:rsidR="00A53DFF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LEK</w:t>
      </w:r>
      <w:r w:rsidR="00F97459">
        <w:rPr>
          <w:rFonts w:ascii="Arial" w:eastAsia="Times New Roman" w:hAnsi="Arial" w:cs="Arial"/>
          <w:sz w:val="22"/>
          <w:szCs w:val="22"/>
          <w:lang w:val="sl-SI" w:eastAsia="sl-SI"/>
        </w:rPr>
        <w:t>.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  <w:r w:rsidR="00AC375F">
        <w:rPr>
          <w:rFonts w:ascii="Arial" w:eastAsia="Times New Roman" w:hAnsi="Arial" w:cs="Arial"/>
          <w:sz w:val="22"/>
          <w:szCs w:val="22"/>
          <w:lang w:val="sl-SI" w:eastAsia="sl-SI"/>
        </w:rPr>
        <w:t>Na srečanju bodo o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 xml:space="preserve">bravnavani tudi 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>g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>lavni zaključki predstavitev in razprav s predhodnih delavnic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>.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</w:p>
    <w:p w14:paraId="58CA7EAD" w14:textId="77777777" w:rsidR="00FD00FB" w:rsidRDefault="00FD00FB" w:rsidP="00A53DFF">
      <w:pPr>
        <w:jc w:val="both"/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1B8EC864" w14:textId="6E88AD5B" w:rsidR="00821DB6" w:rsidRDefault="00AC375F" w:rsidP="006664D7">
      <w:pPr>
        <w:jc w:val="both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S</w:t>
      </w:r>
      <w:r w:rsidRPr="00FD02E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eznanjeni </w:t>
      </w:r>
      <w:r w:rsidR="003D1B18" w:rsidRPr="00FD02E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boste 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še </w:t>
      </w:r>
      <w:r w:rsidR="00FD02E7" w:rsidRPr="00FD02E7">
        <w:rPr>
          <w:rFonts w:ascii="Arial" w:eastAsia="Times New Roman" w:hAnsi="Arial" w:cs="Arial"/>
          <w:sz w:val="22"/>
          <w:szCs w:val="22"/>
          <w:lang w:val="sl-SI" w:eastAsia="sl-SI"/>
        </w:rPr>
        <w:t>z najnovejšimi energetskimi politikami o spodbujanju uporabe energije iz obnovljivih virov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ter vlog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>o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lokalnega energetskega načrtovanja 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in LEK 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>pri tem. Predstavljeni bodo načrtovani koraki digitalizacij</w:t>
      </w:r>
      <w:r w:rsidR="00FD3DFA">
        <w:rPr>
          <w:rFonts w:ascii="Arial" w:eastAsia="Times New Roman" w:hAnsi="Arial" w:cs="Arial"/>
          <w:sz w:val="22"/>
          <w:szCs w:val="22"/>
          <w:lang w:val="sl-SI" w:eastAsia="sl-SI"/>
        </w:rPr>
        <w:t>e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energetskega 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informacijskega 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sistema 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>katerega del so tudi LEK</w:t>
      </w:r>
      <w:r>
        <w:rPr>
          <w:rFonts w:ascii="Arial" w:eastAsia="Times New Roman" w:hAnsi="Arial" w:cs="Arial"/>
          <w:sz w:val="22"/>
          <w:szCs w:val="22"/>
          <w:lang w:val="sl-SI" w:eastAsia="sl-SI"/>
        </w:rPr>
        <w:t>i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in letna poročila o njihovem izvajanju. Na nekaj primerih bodo predstavljeni posamezni 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>napredn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>i pristopi in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orodja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za podporo in </w:t>
      </w:r>
      <w:r w:rsidR="006664D7">
        <w:rPr>
          <w:rFonts w:ascii="Arial" w:eastAsia="Times New Roman" w:hAnsi="Arial" w:cs="Arial"/>
          <w:sz w:val="22"/>
          <w:szCs w:val="22"/>
          <w:lang w:val="sl-SI" w:eastAsia="sl-SI"/>
        </w:rPr>
        <w:t>pomoč pri izdelavi lokalnih energetskih konceptov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ter </w:t>
      </w:r>
      <w:r w:rsidR="006F6088">
        <w:rPr>
          <w:rFonts w:ascii="Arial" w:eastAsia="Times New Roman" w:hAnsi="Arial" w:cs="Arial"/>
          <w:sz w:val="22"/>
          <w:szCs w:val="22"/>
          <w:lang w:val="sl-SI" w:eastAsia="sl-SI"/>
        </w:rPr>
        <w:t xml:space="preserve">prve </w:t>
      </w:r>
      <w:r w:rsidR="00FD00F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izkušnje </w:t>
      </w:r>
      <w:r w:rsidR="006F6088">
        <w:rPr>
          <w:rFonts w:ascii="Arial" w:eastAsia="Times New Roman" w:hAnsi="Arial" w:cs="Arial"/>
          <w:sz w:val="22"/>
          <w:szCs w:val="22"/>
          <w:lang w:val="sl-SI" w:eastAsia="sl-SI"/>
        </w:rPr>
        <w:t>z i</w:t>
      </w:r>
      <w:r w:rsidR="006F6088" w:rsidRPr="006F6088">
        <w:rPr>
          <w:rFonts w:ascii="Arial" w:eastAsia="Times New Roman" w:hAnsi="Arial" w:cs="Arial"/>
          <w:sz w:val="22"/>
          <w:szCs w:val="22"/>
          <w:lang w:val="sl-SI" w:eastAsia="sl-SI"/>
        </w:rPr>
        <w:t>mplementacij</w:t>
      </w:r>
      <w:r w:rsidR="006F6088">
        <w:rPr>
          <w:rFonts w:ascii="Arial" w:eastAsia="Times New Roman" w:hAnsi="Arial" w:cs="Arial"/>
          <w:sz w:val="22"/>
          <w:szCs w:val="22"/>
          <w:lang w:val="sl-SI" w:eastAsia="sl-SI"/>
        </w:rPr>
        <w:t>o</w:t>
      </w:r>
      <w:r w:rsidR="006F6088" w:rsidRPr="006F6088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predlogov za </w:t>
      </w:r>
      <w:r w:rsidR="00C80EE4">
        <w:rPr>
          <w:rFonts w:ascii="Arial" w:eastAsia="Times New Roman" w:hAnsi="Arial" w:cs="Arial"/>
          <w:sz w:val="22"/>
          <w:szCs w:val="22"/>
          <w:lang w:val="sl-SI" w:eastAsia="sl-SI"/>
        </w:rPr>
        <w:t xml:space="preserve">njihovo </w:t>
      </w:r>
      <w:r w:rsidR="006F6088" w:rsidRPr="006F6088">
        <w:rPr>
          <w:rFonts w:ascii="Arial" w:eastAsia="Times New Roman" w:hAnsi="Arial" w:cs="Arial"/>
          <w:sz w:val="22"/>
          <w:szCs w:val="22"/>
          <w:lang w:val="sl-SI" w:eastAsia="sl-SI"/>
        </w:rPr>
        <w:t>nadgradnjo</w:t>
      </w:r>
      <w:r w:rsidR="006F6088">
        <w:rPr>
          <w:rFonts w:ascii="Arial" w:eastAsia="Times New Roman" w:hAnsi="Arial" w:cs="Arial"/>
          <w:sz w:val="22"/>
          <w:szCs w:val="22"/>
          <w:lang w:val="sl-SI" w:eastAsia="sl-SI"/>
        </w:rPr>
        <w:t>.</w:t>
      </w:r>
    </w:p>
    <w:p w14:paraId="437362CE" w14:textId="208583D3" w:rsidR="006664D7" w:rsidRPr="00FD02E7" w:rsidRDefault="006664D7" w:rsidP="006664D7">
      <w:pPr>
        <w:jc w:val="both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</w:p>
    <w:p w14:paraId="1D7B6EEA" w14:textId="77777777" w:rsidR="006F6088" w:rsidRDefault="001D102D" w:rsidP="0093366F">
      <w:pPr>
        <w:rPr>
          <w:rFonts w:ascii="Arial" w:eastAsia="Times New Roman" w:hAnsi="Arial" w:cs="Arial"/>
          <w:sz w:val="22"/>
          <w:szCs w:val="22"/>
          <w:lang w:val="sl-SI" w:eastAsia="sl-SI"/>
        </w:rPr>
      </w:pPr>
      <w:r w:rsidRPr="00E922BB">
        <w:rPr>
          <w:rFonts w:ascii="Arial" w:eastAsia="Times New Roman" w:hAnsi="Arial" w:cs="Arial"/>
          <w:sz w:val="22"/>
          <w:szCs w:val="22"/>
          <w:lang w:val="sl-SI" w:eastAsia="sl-SI"/>
        </w:rPr>
        <w:t>Vljudno vabljeni</w:t>
      </w:r>
      <w:r w:rsidR="006F6088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in dobrodošli!</w:t>
      </w:r>
    </w:p>
    <w:p w14:paraId="1DD92A93" w14:textId="77777777" w:rsidR="006F6088" w:rsidRDefault="006F6088" w:rsidP="0093366F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54239B92" w14:textId="2FBE7FCC" w:rsidR="00C80EE4" w:rsidRDefault="003D1B18" w:rsidP="0093366F">
      <w:pPr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 xml:space="preserve">Obvezne </w:t>
      </w:r>
      <w:r w:rsidRPr="003D1B18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p</w:t>
      </w:r>
      <w:r w:rsidR="001D102D" w:rsidRPr="003D1B18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rijave sprejemamo</w:t>
      </w:r>
      <w:r w:rsidR="00280B23" w:rsidRPr="003D1B18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 xml:space="preserve"> do </w:t>
      </w:r>
      <w:r w:rsidR="002834DF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torka</w:t>
      </w:r>
      <w:r w:rsidR="0093366F" w:rsidRPr="003D1B18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 xml:space="preserve">, </w:t>
      </w:r>
      <w:r w:rsidR="002834DF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5. 12.</w:t>
      </w:r>
      <w:r w:rsidR="00280B23" w:rsidRPr="003D1B18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 xml:space="preserve"> </w:t>
      </w:r>
      <w:r w:rsidR="00F44F67">
        <w:rPr>
          <w:rFonts w:ascii="Arial" w:eastAsia="Times New Roman" w:hAnsi="Arial" w:cs="Arial"/>
          <w:sz w:val="22"/>
          <w:szCs w:val="22"/>
          <w:lang w:val="sl-SI" w:eastAsia="sl-SI"/>
        </w:rPr>
        <w:t xml:space="preserve">preko </w:t>
      </w:r>
      <w:hyperlink r:id="rId8" w:history="1">
        <w:r w:rsidR="00C80EE4">
          <w:rPr>
            <w:rStyle w:val="Hiperpovezava"/>
            <w:rFonts w:ascii="Arial" w:eastAsia="Times New Roman" w:hAnsi="Arial" w:cs="Arial"/>
            <w:sz w:val="22"/>
            <w:szCs w:val="22"/>
            <w:lang w:val="sl-SI" w:eastAsia="sl-SI"/>
          </w:rPr>
          <w:t>obrazca.</w:t>
        </w:r>
      </w:hyperlink>
    </w:p>
    <w:p w14:paraId="22DB9781" w14:textId="3A398FEC" w:rsidR="0093366F" w:rsidRPr="00E922BB" w:rsidRDefault="0093366F" w:rsidP="0093366F">
      <w:pPr>
        <w:rPr>
          <w:rFonts w:ascii="Arial" w:hAnsi="Arial" w:cs="Arial"/>
          <w:sz w:val="22"/>
          <w:szCs w:val="22"/>
          <w:lang w:val="sl-SI"/>
        </w:rPr>
      </w:pPr>
    </w:p>
    <w:p w14:paraId="3759460E" w14:textId="7E147192" w:rsidR="001D102D" w:rsidRPr="00E922BB" w:rsidRDefault="001D102D" w:rsidP="00DB2BA0">
      <w:pPr>
        <w:rPr>
          <w:rFonts w:ascii="Arial" w:eastAsia="Times New Roman" w:hAnsi="Arial" w:cs="Arial"/>
          <w:sz w:val="22"/>
          <w:szCs w:val="22"/>
          <w:lang w:val="sl-SI" w:eastAsia="sl-SI"/>
        </w:rPr>
      </w:pPr>
      <w:r w:rsidRPr="00E922B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 </w:t>
      </w:r>
    </w:p>
    <w:p w14:paraId="440C5B1C" w14:textId="4CB15FFF" w:rsidR="00D379DF" w:rsidRPr="00E922BB" w:rsidRDefault="00D379DF" w:rsidP="00D379DF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sl-SI" w:eastAsia="sl-SI"/>
        </w:rPr>
      </w:pPr>
      <w:r w:rsidRPr="00E922BB">
        <w:rPr>
          <w:rFonts w:ascii="Arial" w:eastAsia="Times New Roman" w:hAnsi="Arial" w:cs="Arial"/>
          <w:color w:val="000000"/>
          <w:sz w:val="22"/>
          <w:szCs w:val="22"/>
          <w:u w:val="single"/>
          <w:lang w:val="sl-SI" w:eastAsia="sl-SI"/>
        </w:rPr>
        <w:t>Program:</w:t>
      </w:r>
    </w:p>
    <w:p w14:paraId="432D8638" w14:textId="77777777" w:rsidR="00D379DF" w:rsidRPr="00E922BB" w:rsidRDefault="00D379DF" w:rsidP="00D379DF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768"/>
        <w:gridCol w:w="3685"/>
      </w:tblGrid>
      <w:tr w:rsidR="00391DD1" w:rsidRPr="00E922BB" w14:paraId="21F1C289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023C7" w14:textId="77777777" w:rsidR="00D379DF" w:rsidRPr="00E922BB" w:rsidRDefault="00D379DF" w:rsidP="00D379DF">
            <w:pPr>
              <w:rPr>
                <w:rFonts w:ascii="Arial" w:eastAsia="Times New Roman" w:hAnsi="Arial" w:cs="Arial"/>
                <w:b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sl-SI" w:eastAsia="sl-SI"/>
              </w:rPr>
              <w:t>Ura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64A1" w14:textId="7D9552A4" w:rsidR="00D379DF" w:rsidRPr="00E922BB" w:rsidRDefault="00D379DF" w:rsidP="00D379DF">
            <w:pPr>
              <w:rPr>
                <w:rFonts w:ascii="Arial" w:eastAsia="Times New Roman" w:hAnsi="Arial" w:cs="Arial"/>
                <w:b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sl-SI" w:eastAsia="sl-SI"/>
              </w:rPr>
              <w:t>Tema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65E71" w14:textId="4168E51C" w:rsidR="00D379DF" w:rsidRPr="00E922BB" w:rsidRDefault="00932612" w:rsidP="00D379DF">
            <w:pPr>
              <w:rPr>
                <w:rFonts w:ascii="Arial" w:eastAsia="Times New Roman" w:hAnsi="Arial" w:cs="Arial"/>
                <w:b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sl-SI" w:eastAsia="sl-SI"/>
              </w:rPr>
              <w:t>Govorec</w:t>
            </w:r>
          </w:p>
        </w:tc>
      </w:tr>
      <w:tr w:rsidR="00F366CF" w:rsidRPr="00C80EE4" w14:paraId="7F8D1C80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E0F2" w14:textId="07F6E73C" w:rsidR="00F366CF" w:rsidRPr="00E922BB" w:rsidRDefault="00F366CF" w:rsidP="00D379DF">
            <w:pPr>
              <w:rPr>
                <w:rFonts w:ascii="Arial" w:eastAsia="Times New Roman" w:hAnsi="Arial" w:cs="Arial"/>
                <w:i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i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8:45 </w:t>
            </w:r>
          </w:p>
        </w:tc>
        <w:tc>
          <w:tcPr>
            <w:tcW w:w="8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5FCD" w14:textId="6683616A" w:rsidR="00821DB6" w:rsidRPr="00E922BB" w:rsidRDefault="00F366CF" w:rsidP="006F6088">
            <w:pPr>
              <w:spacing w:after="60"/>
              <w:rPr>
                <w:rFonts w:ascii="Arial" w:eastAsia="Times New Roman" w:hAnsi="Arial" w:cs="Arial"/>
                <w:i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i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Kava za dobrodošlico in registracija </w:t>
            </w:r>
          </w:p>
        </w:tc>
      </w:tr>
      <w:tr w:rsidR="00391DD1" w:rsidRPr="00C80EE4" w14:paraId="4C42D58B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BF0F" w14:textId="77777777" w:rsidR="00D379DF" w:rsidRPr="00E922BB" w:rsidRDefault="00D379DF" w:rsidP="00D379DF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9:00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929E" w14:textId="0F2072DF" w:rsidR="00D379DF" w:rsidRPr="00E922BB" w:rsidRDefault="00C42241" w:rsidP="0093366F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Uvod s p</w:t>
            </w:r>
            <w:r w:rsidR="00FB742A"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redstavit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vijo</w:t>
            </w:r>
            <w:r w:rsidR="00FB742A"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delavnice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63D97" w14:textId="77777777" w:rsidR="00D379DF" w:rsidRDefault="0093366F" w:rsidP="006F6088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F44F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Matjaž Grmek</w:t>
            </w:r>
            <w:r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, </w:t>
            </w:r>
            <w:r w:rsidR="00280B23"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Focus</w:t>
            </w:r>
            <w:r w:rsidR="00F44F67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, društvo za sonaraven razvoj</w:t>
            </w:r>
            <w:r w:rsidR="00280B23"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</w:t>
            </w:r>
          </w:p>
          <w:p w14:paraId="08840866" w14:textId="51944635" w:rsidR="00821DB6" w:rsidRPr="00E922BB" w:rsidRDefault="00821DB6" w:rsidP="00FB742A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</w:p>
        </w:tc>
      </w:tr>
      <w:tr w:rsidR="00391DD1" w:rsidRPr="00ED31CD" w14:paraId="6D08D25A" w14:textId="77777777" w:rsidTr="00594DB4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BDBB" w14:textId="39EBA424" w:rsidR="00F37C68" w:rsidRDefault="00F37C68" w:rsidP="00D379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9:10</w:t>
            </w:r>
          </w:p>
          <w:p w14:paraId="7A81E1D0" w14:textId="1885F015" w:rsidR="00F37C68" w:rsidRPr="00E922BB" w:rsidRDefault="00F37C68" w:rsidP="00D379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637" w14:textId="2FC822DB" w:rsidR="00F37C68" w:rsidRPr="00E922BB" w:rsidRDefault="00EF7B2A" w:rsidP="00821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Pomen in vloga </w:t>
            </w:r>
            <w:r w:rsidR="00F37C68"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LEK </w:t>
            </w:r>
            <w:r w:rsidR="00D43F41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v luči sprememb energetske zakonodaje</w:t>
            </w:r>
            <w:r w:rsidR="007B7190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, NEPN in digitalizacije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BD58" w14:textId="4F6C7492" w:rsidR="00821DB6" w:rsidRPr="00E922BB" w:rsidRDefault="00F37C68" w:rsidP="006F6088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C80E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>mag. Erik Potočar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,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inistrstvo za okolje, podnebje in energijo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</w:tc>
      </w:tr>
      <w:tr w:rsidR="00391DD1" w:rsidRPr="00C80EE4" w14:paraId="047E69AB" w14:textId="77777777" w:rsidTr="00594DB4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807C" w14:textId="65580D26" w:rsidR="00EF7B2A" w:rsidRPr="00E922BB" w:rsidRDefault="00EF7B2A" w:rsidP="00EF7B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9:30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E598" w14:textId="77B87141" w:rsidR="00EF7B2A" w:rsidRPr="00E922BB" w:rsidRDefault="00C42241" w:rsidP="00EF7B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Izzivi priprave in izvajanja LEK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DC2D" w14:textId="411A25FF" w:rsidR="00EF7B2A" w:rsidRDefault="00EF7B2A" w:rsidP="006F6088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mag. </w:t>
            </w:r>
            <w:r w:rsidRPr="00F44F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l-SI" w:eastAsia="sl-SI"/>
              </w:rPr>
              <w:t>Jure Čižman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="006F6088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IJS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,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enter za energetsko učinkovitost</w:t>
            </w:r>
          </w:p>
        </w:tc>
      </w:tr>
      <w:tr w:rsidR="00391DD1" w:rsidRPr="00C80EE4" w14:paraId="343B57EE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20F2" w14:textId="0BDC1A20" w:rsidR="00EF7B2A" w:rsidRPr="00E922BB" w:rsidRDefault="00EF7B2A" w:rsidP="00EF7B2A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9: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50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A986" w14:textId="76A877D5" w:rsidR="00EF7B2A" w:rsidRPr="00E922BB" w:rsidRDefault="00C42241" w:rsidP="006F6088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Ključne ugotovitve regionalnih </w:t>
            </w:r>
            <w:r w:rsidR="00EF7B2A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participativnih delavnic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na temo nadgradnje LEK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49B4" w14:textId="4C714927" w:rsidR="00821DB6" w:rsidRPr="00E922BB" w:rsidRDefault="00EF7B2A" w:rsidP="00EF7B2A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F7B2A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Matjaž Grmek</w:t>
            </w:r>
            <w:r w:rsidRPr="00EF7B2A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, Focus, društvo za sonaraven razvoj</w:t>
            </w:r>
          </w:p>
        </w:tc>
      </w:tr>
      <w:tr w:rsidR="00391DD1" w:rsidRPr="00C80EE4" w14:paraId="37A3B664" w14:textId="77777777" w:rsidTr="00594DB4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9219F" w14:textId="41789F64" w:rsidR="00103B03" w:rsidRPr="00E922BB" w:rsidRDefault="00103B03" w:rsidP="00103B03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10: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BAA2" w14:textId="220CA58C" w:rsidR="00103B03" w:rsidRPr="00E922BB" w:rsidRDefault="008F6DC5" w:rsidP="006F6088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</w:t>
            </w:r>
            <w:r w:rsidR="00103B03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rojekt RES Slovenija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– primer izdelave strokovnih podlag z oceno </w:t>
            </w:r>
            <w:r w:rsidRP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potencial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ov </w:t>
            </w:r>
            <w:r w:rsidRP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OVE za proizvodnjo električne energije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B07B" w14:textId="7DECB313" w:rsidR="006F6088" w:rsidRDefault="00594DB4" w:rsidP="00821DB6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d</w:t>
            </w:r>
            <w:r w:rsidR="00EC6E8C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r. </w:t>
            </w:r>
            <w:r w:rsidR="00103B03" w:rsidRPr="00821B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Da</w:t>
            </w:r>
            <w:r w:rsidR="00103B03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nijel</w:t>
            </w:r>
            <w:r w:rsidR="00103B03" w:rsidRPr="00821B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C</w:t>
            </w:r>
            <w:r w:rsidR="00103B03" w:rsidRPr="00821B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rn</w:t>
            </w:r>
            <w:r w:rsidR="006F6088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č</w:t>
            </w:r>
            <w:r w:rsidR="00103B03" w:rsidRPr="00821B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ec,</w:t>
            </w:r>
            <w:r w:rsidR="00103B03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 </w:t>
            </w:r>
            <w:r w:rsidRPr="00594DB4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Ministrstvo za okolje, podnebje in energijo</w:t>
            </w:r>
          </w:p>
          <w:p w14:paraId="27B3CBF1" w14:textId="3898F810" w:rsidR="006F6088" w:rsidRPr="006F6088" w:rsidRDefault="006F6088" w:rsidP="00821D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391DD1" w:rsidRPr="00E922BB" w14:paraId="550735EA" w14:textId="77777777" w:rsidTr="00594DB4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E892" w14:textId="2C4B445C" w:rsidR="00103B03" w:rsidRPr="00E922BB" w:rsidRDefault="00103B03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10: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ED5F" w14:textId="4F9EADFD" w:rsidR="00103B03" w:rsidRDefault="00103B03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Vprašanja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4887" w14:textId="03C4514F" w:rsidR="00821DB6" w:rsidRPr="00E922BB" w:rsidRDefault="007B7190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U</w:t>
            </w:r>
            <w:r w:rsidR="00103B03"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deleženci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</w:tc>
      </w:tr>
      <w:tr w:rsidR="00F366CF" w:rsidRPr="00C80EE4" w14:paraId="5C6801E3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2D65" w14:textId="7BFA9A3E" w:rsidR="00F366CF" w:rsidRPr="00E922BB" w:rsidRDefault="00F366CF" w:rsidP="00103B03">
            <w:pPr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0</w:t>
            </w:r>
            <w:r w:rsidRPr="00E922B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:</w:t>
            </w:r>
            <w:r w:rsidR="008F6DC5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8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623EC" w14:textId="422D3AA2" w:rsidR="00F366CF" w:rsidRDefault="00F366CF" w:rsidP="00103B03">
            <w:pP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Odmor za </w:t>
            </w:r>
            <w:r w:rsidR="006F6088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lahko okrepčilo </w:t>
            </w:r>
            <w:r w:rsidR="00391DD1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in mreženje</w:t>
            </w:r>
          </w:p>
          <w:p w14:paraId="2570332D" w14:textId="08C45038" w:rsidR="00821DB6" w:rsidRPr="00E922BB" w:rsidRDefault="00821DB6" w:rsidP="00103B03">
            <w:pPr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sl-SI" w:eastAsia="sl-SI"/>
              </w:rPr>
            </w:pPr>
          </w:p>
        </w:tc>
      </w:tr>
      <w:tr w:rsidR="00391DD1" w:rsidRPr="00C80EE4" w14:paraId="3C11695F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3036" w14:textId="7EEAFDDC" w:rsidR="008F6DC5" w:rsidRPr="00E922BB" w:rsidRDefault="008F6DC5" w:rsidP="00815A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11:15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72D8" w14:textId="4EEDBFEB" w:rsidR="008F6DC5" w:rsidRPr="00821B18" w:rsidRDefault="007B7190" w:rsidP="006F6088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Razvoj LEK: k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ljučni e</w:t>
            </w:r>
            <w:r w:rsidR="008F6DC5" w:rsidRP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lementi nadgradnje metodologije 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="008F6DC5" w:rsidRP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podpornega okolja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s 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prikaz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om</w:t>
            </w:r>
            <w:r w:rsidR="008F6DC5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praktičnega primera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792D" w14:textId="2630D3DF" w:rsidR="006F6088" w:rsidRPr="006F6088" w:rsidRDefault="008F6DC5" w:rsidP="006F6088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mag. </w:t>
            </w:r>
            <w:r w:rsidRPr="00F44F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Jure Čižman</w:t>
            </w:r>
            <w:r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, 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</w:t>
            </w:r>
            <w:r w:rsidR="006F6088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JS,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enter za energetsko učinkovitost</w:t>
            </w:r>
          </w:p>
        </w:tc>
      </w:tr>
      <w:tr w:rsidR="00391DD1" w:rsidRPr="00C80EE4" w14:paraId="5439239B" w14:textId="77777777" w:rsidTr="00594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58AE" w14:textId="31015B47" w:rsidR="00391DD1" w:rsidRPr="00E922BB" w:rsidRDefault="00391DD1" w:rsidP="00103B03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11:35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BE51" w14:textId="10CBD645" w:rsidR="00391DD1" w:rsidRPr="00E922BB" w:rsidRDefault="00391DD1" w:rsidP="00103B03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Implementacija predlogov za nadgradnjo LEK – predstavitev izkušenj na primerih priprave demonstracijskih LEK za občine Maribor</w:t>
            </w:r>
            <w:r w:rsidR="00594DB4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D841" w14:textId="613A3338" w:rsidR="00391DD1" w:rsidRPr="00E922BB" w:rsidRDefault="00391DD1" w:rsidP="00594DB4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dr. </w:t>
            </w:r>
            <w:r w:rsidRPr="00F44F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>Vlasta Krmelj</w:t>
            </w:r>
            <w:r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, E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nergetsko podnebna agencija za Podravje, E</w:t>
            </w:r>
            <w:r w:rsidRPr="00E922B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NERGAP</w:t>
            </w:r>
          </w:p>
        </w:tc>
      </w:tr>
      <w:tr w:rsidR="00391DD1" w:rsidRPr="00C80EE4" w14:paraId="65EA0307" w14:textId="77777777" w:rsidTr="00594DB4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4DBD" w14:textId="7C87DD60" w:rsidR="00391DD1" w:rsidRDefault="00391DD1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4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250D" w14:textId="05E93BD4" w:rsidR="00391DD1" w:rsidRPr="00E922BB" w:rsidRDefault="00594DB4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Ajdovščina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 in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31F3" w14:textId="0C82039B" w:rsidR="00391DD1" w:rsidRDefault="00594DB4" w:rsidP="00103B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Boštjan Mljač, </w:t>
            </w:r>
            <w:r w:rsidRPr="00B53EB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Goriška lokalna energetska agencija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,</w:t>
            </w:r>
            <w:r w:rsidRPr="00B53EB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GOLEA</w:t>
            </w:r>
          </w:p>
        </w:tc>
      </w:tr>
      <w:tr w:rsidR="00391DD1" w:rsidRPr="00C80EE4" w14:paraId="404BD359" w14:textId="77777777" w:rsidTr="00594DB4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0283" w14:textId="7E113B6C" w:rsidR="00391DD1" w:rsidRDefault="00391DD1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4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308F" w14:textId="0BF905F0" w:rsidR="00391DD1" w:rsidRPr="007A7D4B" w:rsidRDefault="00594DB4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Trbovlje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B70A" w14:textId="1B06716D" w:rsidR="00391DD1" w:rsidRDefault="00594DB4" w:rsidP="00594DB4">
            <w:pPr>
              <w:spacing w:after="6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 w:eastAsia="sl-SI"/>
              </w:rPr>
              <w:t xml:space="preserve">Sašo Mozgan, </w:t>
            </w:r>
            <w:r w:rsidRPr="00B53EB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Zavod energetska agencija za Savinjsko, Šaleško in Koroško</w:t>
            </w:r>
            <w: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,</w:t>
            </w:r>
            <w:r w:rsidRPr="00B53EB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KSSENA</w:t>
            </w:r>
          </w:p>
        </w:tc>
      </w:tr>
      <w:tr w:rsidR="00391DD1" w:rsidRPr="00E13920" w14:paraId="57A3E6A9" w14:textId="77777777" w:rsidTr="00594DB4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7E406" w14:textId="680C69C4" w:rsidR="00103B03" w:rsidRPr="00E922BB" w:rsidRDefault="00103B03" w:rsidP="00103B03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</w:t>
            </w:r>
            <w:r w:rsidR="00391DD1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:</w:t>
            </w:r>
            <w:r w:rsidR="00391DD1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978A" w14:textId="49CB5AD3" w:rsidR="00103B03" w:rsidRPr="00E922BB" w:rsidRDefault="00103B03" w:rsidP="00103B03">
            <w:pPr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Razprava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6F69" w14:textId="4B9B047D" w:rsidR="00821DB6" w:rsidRPr="000A19A5" w:rsidRDefault="00103B03" w:rsidP="00103B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E922BB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udeleženci</w:t>
            </w:r>
          </w:p>
        </w:tc>
      </w:tr>
      <w:tr w:rsidR="00F366CF" w:rsidRPr="00C80EE4" w14:paraId="5783D25C" w14:textId="77777777" w:rsidTr="00594D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FA18" w14:textId="7808D3B0" w:rsidR="00F366CF" w:rsidRPr="00F366CF" w:rsidRDefault="00F366CF" w:rsidP="00103B03">
            <w:pP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F366CF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12:</w:t>
            </w:r>
            <w:r w:rsidR="00391DD1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45</w:t>
            </w:r>
          </w:p>
        </w:tc>
        <w:tc>
          <w:tcPr>
            <w:tcW w:w="8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3C37" w14:textId="6C08C39E" w:rsidR="00821DB6" w:rsidRPr="00F366CF" w:rsidRDefault="00F366CF" w:rsidP="006F6088">
            <w:pPr>
              <w:spacing w:after="60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</w:pPr>
            <w:r w:rsidRPr="00F366CF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Zaključek delavnice</w:t>
            </w:r>
            <w:r w:rsidR="00391DD1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 </w:t>
            </w:r>
            <w:r w:rsidR="006F6088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ter</w:t>
            </w:r>
            <w:r w:rsidR="00391DD1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 mr</w:t>
            </w:r>
            <w:r w:rsidR="000A19A5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e</w:t>
            </w:r>
            <w:r w:rsidR="00391DD1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ženje ob kav</w:t>
            </w:r>
            <w:r w:rsidR="000A19A5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>i</w:t>
            </w:r>
            <w:r w:rsidR="006F6088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val="sl-SI" w:eastAsia="sl-SI"/>
              </w:rPr>
              <w:t xml:space="preserve"> in čaju</w:t>
            </w:r>
          </w:p>
        </w:tc>
      </w:tr>
    </w:tbl>
    <w:p w14:paraId="711219B1" w14:textId="77777777" w:rsidR="006F6088" w:rsidRDefault="006F6088" w:rsidP="006F6088">
      <w:pPr>
        <w:spacing w:after="240"/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3BA7360E" w14:textId="44AB0CAD" w:rsidR="001518F8" w:rsidRDefault="004967A6" w:rsidP="006F6088">
      <w:pPr>
        <w:spacing w:after="240"/>
        <w:rPr>
          <w:rFonts w:ascii="Arial" w:eastAsia="Times New Roman" w:hAnsi="Arial" w:cs="Arial"/>
          <w:sz w:val="22"/>
          <w:szCs w:val="22"/>
          <w:lang w:val="sl-SI" w:eastAsia="sl-SI"/>
        </w:rPr>
      </w:pPr>
      <w:r>
        <w:rPr>
          <w:rFonts w:ascii="Arial" w:eastAsia="Times New Roman" w:hAnsi="Arial" w:cs="Arial"/>
          <w:sz w:val="22"/>
          <w:szCs w:val="22"/>
          <w:lang w:val="sl-SI" w:eastAsia="sl-SI"/>
        </w:rPr>
        <w:t>Delavnica je organizirana v okviru projekta LIFE IP CARE4CLIMATE, ki je integralni projekt, sofinanciran s sredstvi evropskega programa LIFE, sredstvi Sklada za podnebne spremembe in sredstvi partnerjev projekta.</w:t>
      </w:r>
    </w:p>
    <w:p w14:paraId="5DA8A14B" w14:textId="77777777" w:rsidR="004967A6" w:rsidRDefault="004967A6" w:rsidP="00184785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4149C4E4" w14:textId="5406493E" w:rsidR="006F6ECC" w:rsidRPr="00E922BB" w:rsidRDefault="00184785" w:rsidP="00184785">
      <w:pPr>
        <w:rPr>
          <w:rFonts w:ascii="Arial" w:eastAsia="Times New Roman" w:hAnsi="Arial" w:cs="Arial"/>
          <w:sz w:val="22"/>
          <w:szCs w:val="22"/>
          <w:lang w:val="sl-SI" w:eastAsia="sl-SI"/>
        </w:rPr>
      </w:pPr>
      <w:r w:rsidRPr="004967A6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Dodatne</w:t>
      </w:r>
      <w:r w:rsidR="00257C20" w:rsidRPr="004967A6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 xml:space="preserve"> informacij</w:t>
      </w:r>
      <w:r w:rsidRPr="004967A6">
        <w:rPr>
          <w:rFonts w:ascii="Arial" w:eastAsia="Times New Roman" w:hAnsi="Arial" w:cs="Arial"/>
          <w:b/>
          <w:bCs/>
          <w:sz w:val="22"/>
          <w:szCs w:val="22"/>
          <w:lang w:val="sl-SI" w:eastAsia="sl-SI"/>
        </w:rPr>
        <w:t>e</w:t>
      </w:r>
      <w:r w:rsidR="00257C20" w:rsidRPr="00E922B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: </w:t>
      </w:r>
      <w:r w:rsidR="000A19A5">
        <w:rPr>
          <w:rFonts w:ascii="Arial" w:eastAsia="Times New Roman" w:hAnsi="Arial" w:cs="Arial"/>
          <w:sz w:val="22"/>
          <w:szCs w:val="22"/>
          <w:lang w:val="sl-SI" w:eastAsia="sl-SI"/>
        </w:rPr>
        <w:t xml:space="preserve">Matjaž Grmek, </w:t>
      </w:r>
      <w:hyperlink r:id="rId9" w:history="1">
        <w:r w:rsidR="000A19A5" w:rsidRPr="001C1766">
          <w:rPr>
            <w:rStyle w:val="Hiperpovezava"/>
            <w:rFonts w:ascii="Arial" w:eastAsia="Times New Roman" w:hAnsi="Arial" w:cs="Arial"/>
            <w:sz w:val="22"/>
            <w:szCs w:val="22"/>
            <w:lang w:val="sl-SI" w:eastAsia="sl-SI"/>
          </w:rPr>
          <w:t>matjaz@focus.si</w:t>
        </w:r>
      </w:hyperlink>
      <w:r w:rsidR="00257C20" w:rsidRPr="00E922BB">
        <w:rPr>
          <w:rFonts w:ascii="Arial" w:eastAsia="Times New Roman" w:hAnsi="Arial" w:cs="Arial"/>
          <w:sz w:val="22"/>
          <w:szCs w:val="22"/>
          <w:lang w:val="sl-SI" w:eastAsia="sl-SI"/>
        </w:rPr>
        <w:t xml:space="preserve">, </w:t>
      </w:r>
      <w:r w:rsidR="00F366CF" w:rsidRPr="00F366CF">
        <w:rPr>
          <w:rFonts w:ascii="Arial" w:eastAsia="Times New Roman" w:hAnsi="Arial" w:cs="Arial"/>
          <w:sz w:val="22"/>
          <w:szCs w:val="22"/>
          <w:lang w:val="sl-SI" w:eastAsia="sl-SI"/>
        </w:rPr>
        <w:t>08 200 26 56</w:t>
      </w:r>
    </w:p>
    <w:p w14:paraId="2F12B261" w14:textId="7B520641" w:rsidR="00184785" w:rsidRPr="00E922BB" w:rsidRDefault="00184785" w:rsidP="00184785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14C6F5B6" w14:textId="77777777" w:rsidR="00184785" w:rsidRPr="00E922BB" w:rsidRDefault="00184785" w:rsidP="00184785">
      <w:pPr>
        <w:rPr>
          <w:rFonts w:ascii="Arial" w:hAnsi="Arial" w:cs="Arial"/>
          <w:sz w:val="22"/>
          <w:szCs w:val="22"/>
          <w:lang w:val="sl-SI"/>
        </w:rPr>
      </w:pPr>
    </w:p>
    <w:p w14:paraId="46132569" w14:textId="22C6EE45" w:rsidR="006F6ECC" w:rsidRPr="00E922BB" w:rsidRDefault="006F6ECC" w:rsidP="006F6ECC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1B58B43B" w14:textId="3546582B" w:rsidR="006F6ECC" w:rsidRPr="00E922BB" w:rsidRDefault="006F6ECC" w:rsidP="00DB2BA0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sectPr w:rsidR="006F6ECC" w:rsidRPr="00E922BB" w:rsidSect="006F608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91E6" w14:textId="77777777" w:rsidR="000023F5" w:rsidRDefault="000023F5" w:rsidP="003143EA">
      <w:r>
        <w:separator/>
      </w:r>
    </w:p>
  </w:endnote>
  <w:endnote w:type="continuationSeparator" w:id="0">
    <w:p w14:paraId="6B95D2DD" w14:textId="77777777" w:rsidR="000023F5" w:rsidRDefault="000023F5" w:rsidP="0031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1842071207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48A81F0" w14:textId="77777777" w:rsidR="006F6ECC" w:rsidRDefault="006F6ECC" w:rsidP="00661368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50A798BF" w14:textId="77777777" w:rsidR="006F6ECC" w:rsidRDefault="006F6ECC" w:rsidP="006F6EC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26D" w14:textId="77777777" w:rsidR="003143EA" w:rsidRPr="00465FAE" w:rsidRDefault="003143EA" w:rsidP="006F6ECC">
    <w:pPr>
      <w:ind w:right="360"/>
      <w:rPr>
        <w:rFonts w:ascii="Arial" w:hAnsi="Arial" w:cs="Arial"/>
        <w:sz w:val="15"/>
        <w:szCs w:val="15"/>
        <w:lang w:val="sl-SI"/>
      </w:rPr>
    </w:pPr>
  </w:p>
  <w:sdt>
    <w:sdtPr>
      <w:rPr>
        <w:rStyle w:val="tevilkastrani"/>
        <w:rFonts w:ascii="Arial" w:hAnsi="Arial" w:cs="Arial"/>
        <w:color w:val="3A4A3E"/>
        <w:sz w:val="15"/>
        <w:szCs w:val="15"/>
        <w:lang w:val="sl-SI"/>
      </w:rPr>
      <w:id w:val="171815419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4852028" w14:textId="77777777" w:rsidR="006F6ECC" w:rsidRPr="00465FAE" w:rsidRDefault="006F6ECC" w:rsidP="006F6ECC">
        <w:pPr>
          <w:pStyle w:val="Noga"/>
          <w:framePr w:wrap="none" w:vAnchor="text" w:hAnchor="page" w:x="10261" w:y="206"/>
          <w:rPr>
            <w:rStyle w:val="tevilkastrani"/>
            <w:rFonts w:ascii="Arial" w:hAnsi="Arial" w:cs="Arial"/>
            <w:color w:val="3A4A3E"/>
            <w:sz w:val="15"/>
            <w:szCs w:val="15"/>
            <w:lang w:val="sl-SI"/>
          </w:rPr>
        </w:pPr>
        <w:r w:rsidRPr="00465FAE">
          <w:rPr>
            <w:rStyle w:val="tevilkastrani"/>
            <w:rFonts w:ascii="Arial" w:hAnsi="Arial" w:cs="Arial"/>
            <w:color w:val="3A4A3E"/>
            <w:sz w:val="15"/>
            <w:szCs w:val="15"/>
            <w:lang w:val="sl-SI"/>
          </w:rPr>
          <w:fldChar w:fldCharType="begin"/>
        </w:r>
        <w:r w:rsidRPr="00465FAE">
          <w:rPr>
            <w:rStyle w:val="tevilkastrani"/>
            <w:rFonts w:ascii="Arial" w:hAnsi="Arial" w:cs="Arial"/>
            <w:color w:val="3A4A3E"/>
            <w:sz w:val="15"/>
            <w:szCs w:val="15"/>
            <w:lang w:val="sl-SI"/>
          </w:rPr>
          <w:instrText xml:space="preserve"> PAGE </w:instrText>
        </w:r>
        <w:r w:rsidRPr="00465FAE">
          <w:rPr>
            <w:rStyle w:val="tevilkastrani"/>
            <w:rFonts w:ascii="Arial" w:hAnsi="Arial" w:cs="Arial"/>
            <w:color w:val="3A4A3E"/>
            <w:sz w:val="15"/>
            <w:szCs w:val="15"/>
            <w:lang w:val="sl-SI"/>
          </w:rPr>
          <w:fldChar w:fldCharType="separate"/>
        </w:r>
        <w:r w:rsidR="008E19BE">
          <w:rPr>
            <w:rStyle w:val="tevilkastrani"/>
            <w:rFonts w:ascii="Arial" w:hAnsi="Arial" w:cs="Arial"/>
            <w:noProof/>
            <w:color w:val="3A4A3E"/>
            <w:sz w:val="15"/>
            <w:szCs w:val="15"/>
            <w:lang w:val="sl-SI"/>
          </w:rPr>
          <w:t>2</w:t>
        </w:r>
        <w:r w:rsidRPr="00465FAE">
          <w:rPr>
            <w:rStyle w:val="tevilkastrani"/>
            <w:rFonts w:ascii="Arial" w:hAnsi="Arial" w:cs="Arial"/>
            <w:color w:val="3A4A3E"/>
            <w:sz w:val="15"/>
            <w:szCs w:val="15"/>
            <w:lang w:val="sl-SI"/>
          </w:rPr>
          <w:fldChar w:fldCharType="end"/>
        </w:r>
      </w:p>
    </w:sdtContent>
  </w:sdt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3D6E74" w:rsidRPr="00C80EE4" w14:paraId="1381DDD3" w14:textId="77777777" w:rsidTr="003D6E74">
      <w:tc>
        <w:tcPr>
          <w:tcW w:w="1696" w:type="dxa"/>
        </w:tcPr>
        <w:p w14:paraId="022F469F" w14:textId="77777777" w:rsidR="003D6E74" w:rsidRPr="00B07C04" w:rsidRDefault="000023F5" w:rsidP="003143EA">
          <w:pPr>
            <w:pStyle w:val="Noga"/>
            <w:spacing w:line="276" w:lineRule="auto"/>
            <w:rPr>
              <w:rFonts w:ascii="Arial" w:hAnsi="Arial" w:cs="Arial"/>
              <w:color w:val="3A4A3E"/>
              <w:sz w:val="15"/>
              <w:szCs w:val="15"/>
              <w:lang w:val="sl-SI"/>
            </w:rPr>
          </w:pPr>
          <w:hyperlink r:id="rId1" w:history="1">
            <w:r w:rsidR="003D6E74" w:rsidRPr="00B07C04">
              <w:rPr>
                <w:rStyle w:val="Hiperpovezava"/>
                <w:rFonts w:ascii="Arial" w:hAnsi="Arial" w:cs="Arial"/>
                <w:color w:val="3A4A3E"/>
                <w:sz w:val="15"/>
                <w:szCs w:val="15"/>
                <w:u w:val="none"/>
                <w:lang w:val="sl-SI"/>
              </w:rPr>
              <w:t>info@care4climate.si</w:t>
            </w:r>
          </w:hyperlink>
        </w:p>
        <w:p w14:paraId="6AB4FC0E" w14:textId="77777777" w:rsidR="003D6E74" w:rsidRPr="00465FAE" w:rsidRDefault="000023F5" w:rsidP="003143EA">
          <w:pPr>
            <w:pStyle w:val="Noga"/>
            <w:spacing w:line="276" w:lineRule="auto"/>
            <w:rPr>
              <w:rFonts w:ascii="Arial" w:hAnsi="Arial" w:cs="Arial"/>
              <w:sz w:val="15"/>
              <w:szCs w:val="15"/>
              <w:lang w:val="sl-SI"/>
            </w:rPr>
          </w:pPr>
          <w:hyperlink r:id="rId2" w:history="1">
            <w:r w:rsidR="003D6E74" w:rsidRPr="00B07C04">
              <w:rPr>
                <w:rStyle w:val="Hiperpovezava"/>
                <w:rFonts w:ascii="Arial" w:hAnsi="Arial" w:cs="Arial"/>
                <w:color w:val="3A4A3E"/>
                <w:sz w:val="15"/>
                <w:szCs w:val="15"/>
                <w:u w:val="none"/>
                <w:lang w:val="sl-SI"/>
              </w:rPr>
              <w:t>www.care4climate.si</w:t>
            </w:r>
          </w:hyperlink>
          <w:r w:rsidR="003D6E74" w:rsidRPr="00B07C04">
            <w:rPr>
              <w:rFonts w:ascii="Arial" w:hAnsi="Arial" w:cs="Arial"/>
              <w:color w:val="7F7F7F" w:themeColor="text1" w:themeTint="80"/>
              <w:sz w:val="15"/>
              <w:szCs w:val="15"/>
              <w:lang w:val="sl-SI"/>
            </w:rPr>
            <w:t xml:space="preserve"> </w:t>
          </w:r>
        </w:p>
      </w:tc>
      <w:tc>
        <w:tcPr>
          <w:tcW w:w="7230" w:type="dxa"/>
        </w:tcPr>
        <w:p w14:paraId="3C368B11" w14:textId="20DF38E1" w:rsidR="003D6E74" w:rsidRPr="00465FAE" w:rsidRDefault="00465FAE" w:rsidP="00465FAE">
          <w:pPr>
            <w:rPr>
              <w:rFonts w:ascii="Arial" w:hAnsi="Arial" w:cs="Arial"/>
              <w:color w:val="AFADAD"/>
              <w:sz w:val="15"/>
              <w:szCs w:val="15"/>
              <w:lang w:val="sl-SI"/>
            </w:rPr>
          </w:pPr>
          <w:r w:rsidRPr="00465FAE">
            <w:rPr>
              <w:rFonts w:ascii="Arial" w:hAnsi="Arial" w:cs="Arial"/>
              <w:color w:val="AFADAD"/>
              <w:sz w:val="15"/>
              <w:szCs w:val="15"/>
              <w:lang w:val="sl-SI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14:paraId="7827A88A" w14:textId="77777777" w:rsidR="003143EA" w:rsidRPr="00465FAE" w:rsidRDefault="003143EA">
    <w:pPr>
      <w:pStyle w:val="Noga"/>
      <w:rPr>
        <w:rFonts w:ascii="Arial" w:hAnsi="Arial" w:cs="Arial"/>
        <w:sz w:val="15"/>
        <w:szCs w:val="15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6F6ECC" w:rsidRPr="003D6E74" w14:paraId="70FE6044" w14:textId="77777777" w:rsidTr="00B36A70">
      <w:tc>
        <w:tcPr>
          <w:tcW w:w="1696" w:type="dxa"/>
        </w:tcPr>
        <w:p w14:paraId="48ACD22C" w14:textId="77777777" w:rsidR="00B07C04" w:rsidRPr="00B07C04" w:rsidRDefault="000023F5" w:rsidP="00B07C04">
          <w:pPr>
            <w:pStyle w:val="Noga"/>
            <w:spacing w:line="276" w:lineRule="auto"/>
            <w:rPr>
              <w:rFonts w:ascii="Arial" w:hAnsi="Arial" w:cs="Arial"/>
              <w:color w:val="3A4A3E"/>
              <w:sz w:val="15"/>
              <w:szCs w:val="15"/>
              <w:lang w:val="sl-SI"/>
            </w:rPr>
          </w:pPr>
          <w:hyperlink r:id="rId1" w:history="1">
            <w:r w:rsidR="00B07C04" w:rsidRPr="00B07C04">
              <w:rPr>
                <w:rStyle w:val="Hiperpovezava"/>
                <w:rFonts w:ascii="Arial" w:hAnsi="Arial" w:cs="Arial"/>
                <w:color w:val="3A4A3E"/>
                <w:sz w:val="15"/>
                <w:szCs w:val="15"/>
                <w:u w:val="none"/>
                <w:lang w:val="sl-SI"/>
              </w:rPr>
              <w:t>info@care4climate.si</w:t>
            </w:r>
          </w:hyperlink>
        </w:p>
        <w:p w14:paraId="5B599A25" w14:textId="2907ADBD" w:rsidR="006F6ECC" w:rsidRPr="003D6E74" w:rsidRDefault="000023F5" w:rsidP="00B07C04">
          <w:pPr>
            <w:pStyle w:val="Noga"/>
            <w:spacing w:line="276" w:lineRule="auto"/>
            <w:rPr>
              <w:rFonts w:ascii="Arial" w:hAnsi="Arial" w:cs="Arial"/>
              <w:sz w:val="15"/>
              <w:szCs w:val="15"/>
            </w:rPr>
          </w:pPr>
          <w:hyperlink r:id="rId2" w:history="1">
            <w:r w:rsidR="00B07C04" w:rsidRPr="00B07C04">
              <w:rPr>
                <w:rStyle w:val="Hiperpovezava"/>
                <w:rFonts w:ascii="Arial" w:hAnsi="Arial" w:cs="Arial"/>
                <w:color w:val="3A4A3E"/>
                <w:sz w:val="15"/>
                <w:szCs w:val="15"/>
                <w:u w:val="none"/>
                <w:lang w:val="sl-SI"/>
              </w:rPr>
              <w:t>www.care4climate.si</w:t>
            </w:r>
          </w:hyperlink>
        </w:p>
      </w:tc>
      <w:tc>
        <w:tcPr>
          <w:tcW w:w="7230" w:type="dxa"/>
        </w:tcPr>
        <w:p w14:paraId="177B51D0" w14:textId="409FF38F" w:rsidR="006F6ECC" w:rsidRPr="00004F78" w:rsidRDefault="00465FAE" w:rsidP="00465FAE">
          <w:pPr>
            <w:rPr>
              <w:rFonts w:ascii="Arial" w:hAnsi="Arial" w:cs="Arial"/>
              <w:color w:val="AFADAD"/>
              <w:sz w:val="15"/>
              <w:szCs w:val="15"/>
              <w:lang w:val="sl-SI"/>
            </w:rPr>
          </w:pPr>
          <w:r w:rsidRPr="00004F78">
            <w:rPr>
              <w:rFonts w:ascii="Arial" w:hAnsi="Arial" w:cs="Arial"/>
              <w:color w:val="AFADAD"/>
              <w:sz w:val="15"/>
              <w:szCs w:val="15"/>
              <w:lang w:val="sl-SI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14:paraId="69C00A62" w14:textId="77777777" w:rsidR="006F6ECC" w:rsidRPr="006F6ECC" w:rsidRDefault="006F6ECC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AE20" w14:textId="77777777" w:rsidR="000023F5" w:rsidRDefault="000023F5" w:rsidP="003143EA">
      <w:r>
        <w:separator/>
      </w:r>
    </w:p>
  </w:footnote>
  <w:footnote w:type="continuationSeparator" w:id="0">
    <w:p w14:paraId="1C96A5C1" w14:textId="77777777" w:rsidR="000023F5" w:rsidRDefault="000023F5" w:rsidP="0031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310F" w14:textId="18DFEF48" w:rsidR="003143EA" w:rsidRPr="00DD6875" w:rsidRDefault="00F313AD">
    <w:pPr>
      <w:pStyle w:val="Glava"/>
      <w:rPr>
        <w:sz w:val="16"/>
        <w:szCs w:val="16"/>
      </w:rPr>
    </w:pPr>
    <w:r w:rsidRPr="00F313AD">
      <w:rPr>
        <w:noProof/>
      </w:rPr>
      <w:drawing>
        <wp:inline distT="0" distB="0" distL="0" distR="0" wp14:anchorId="2C3BFB57" wp14:editId="170DECAE">
          <wp:extent cx="5727700" cy="657225"/>
          <wp:effectExtent l="0" t="0" r="6350" b="0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4"/>
      <w:gridCol w:w="566"/>
      <w:gridCol w:w="566"/>
      <w:gridCol w:w="1877"/>
      <w:gridCol w:w="1877"/>
    </w:tblGrid>
    <w:tr w:rsidR="00004F78" w14:paraId="45713C95" w14:textId="32F7EE2F" w:rsidTr="003C11BC">
      <w:trPr>
        <w:trHeight w:val="850"/>
      </w:trPr>
      <w:tc>
        <w:tcPr>
          <w:tcW w:w="4134" w:type="dxa"/>
        </w:tcPr>
        <w:p w14:paraId="684FC149" w14:textId="221AAFC5" w:rsidR="003C11BC" w:rsidRDefault="00004F78">
          <w:pPr>
            <w:pStyle w:val="Glava"/>
            <w:rPr>
              <w:sz w:val="16"/>
              <w:szCs w:val="16"/>
            </w:rPr>
          </w:pPr>
          <w:bookmarkStart w:id="0" w:name="_Hlk129860558"/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8479" behindDoc="0" locked="0" layoutInCell="1" allowOverlap="1" wp14:anchorId="7A0C02E0" wp14:editId="1E5D28BE">
                <wp:simplePos x="0" y="0"/>
                <wp:positionH relativeFrom="column">
                  <wp:posOffset>-241401</wp:posOffset>
                </wp:positionH>
                <wp:positionV relativeFrom="paragraph">
                  <wp:posOffset>98273</wp:posOffset>
                </wp:positionV>
                <wp:extent cx="3034800" cy="298800"/>
                <wp:effectExtent l="0" t="0" r="0" b="6350"/>
                <wp:wrapNone/>
                <wp:docPr id="2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800" cy="29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" w:type="dxa"/>
        </w:tcPr>
        <w:p w14:paraId="4D574E91" w14:textId="77777777" w:rsidR="003C11BC" w:rsidRPr="002F0B95" w:rsidRDefault="003C11BC" w:rsidP="00B07C04">
          <w:pPr>
            <w:pStyle w:val="Glava"/>
            <w:rPr>
              <w:color w:val="AFADAD"/>
              <w:sz w:val="16"/>
              <w:szCs w:val="16"/>
            </w:rPr>
          </w:pPr>
        </w:p>
      </w:tc>
      <w:tc>
        <w:tcPr>
          <w:tcW w:w="566" w:type="dxa"/>
          <w:vAlign w:val="center"/>
        </w:tcPr>
        <w:p w14:paraId="56B6FF69" w14:textId="336B2402" w:rsidR="003C11BC" w:rsidRPr="002F0B95" w:rsidRDefault="003C11BC" w:rsidP="00B07C04">
          <w:pPr>
            <w:pStyle w:val="Glava"/>
            <w:rPr>
              <w:color w:val="AFADAD"/>
              <w:sz w:val="16"/>
              <w:szCs w:val="16"/>
            </w:rPr>
          </w:pPr>
        </w:p>
      </w:tc>
      <w:tc>
        <w:tcPr>
          <w:tcW w:w="1877" w:type="dxa"/>
        </w:tcPr>
        <w:p w14:paraId="0A4E6962" w14:textId="5DFA0C21" w:rsidR="003C11BC" w:rsidRDefault="00184785" w:rsidP="00B07C04">
          <w:pPr>
            <w:pStyle w:val="Glava"/>
            <w:rPr>
              <w:noProof/>
              <w:color w:val="AFADAD"/>
              <w:sz w:val="16"/>
              <w:szCs w:val="16"/>
            </w:rPr>
          </w:pPr>
          <w:r>
            <w:rPr>
              <w:rFonts w:asciiTheme="majorHAnsi" w:hAnsiTheme="majorHAnsi" w:cstheme="majorHAnsi"/>
              <w:noProof/>
              <w:sz w:val="22"/>
              <w:szCs w:val="22"/>
              <w:lang w:val="it-IT"/>
            </w:rPr>
            <w:drawing>
              <wp:anchor distT="0" distB="0" distL="114300" distR="114300" simplePos="0" relativeHeight="251667455" behindDoc="0" locked="0" layoutInCell="1" allowOverlap="1" wp14:anchorId="5CB046FF" wp14:editId="18C96990">
                <wp:simplePos x="0" y="0"/>
                <wp:positionH relativeFrom="column">
                  <wp:posOffset>-410516</wp:posOffset>
                </wp:positionH>
                <wp:positionV relativeFrom="paragraph">
                  <wp:posOffset>105740</wp:posOffset>
                </wp:positionV>
                <wp:extent cx="1989469" cy="266589"/>
                <wp:effectExtent l="0" t="0" r="0" b="635"/>
                <wp:wrapNone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1" cy="2677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77" w:type="dxa"/>
        </w:tcPr>
        <w:p w14:paraId="6C7949AD" w14:textId="24A0C627" w:rsidR="003C11BC" w:rsidRDefault="003C11BC" w:rsidP="00B07C04">
          <w:pPr>
            <w:pStyle w:val="Glava"/>
            <w:rPr>
              <w:noProof/>
              <w:color w:val="AFADAD"/>
              <w:sz w:val="16"/>
              <w:szCs w:val="16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0287" behindDoc="0" locked="0" layoutInCell="1" allowOverlap="1" wp14:anchorId="137C12A3" wp14:editId="751F7F9C">
                <wp:simplePos x="0" y="0"/>
                <wp:positionH relativeFrom="column">
                  <wp:posOffset>543763</wp:posOffset>
                </wp:positionH>
                <wp:positionV relativeFrom="paragraph">
                  <wp:posOffset>125425</wp:posOffset>
                </wp:positionV>
                <wp:extent cx="986400" cy="230400"/>
                <wp:effectExtent l="0" t="0" r="444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4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1223A260" w14:textId="497223B2" w:rsidR="00D018F9" w:rsidRPr="00DD6875" w:rsidRDefault="00D018F9" w:rsidP="005F4CB5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AA6"/>
    <w:multiLevelType w:val="hybridMultilevel"/>
    <w:tmpl w:val="9DF091D2"/>
    <w:lvl w:ilvl="0" w:tplc="7054A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455"/>
    <w:multiLevelType w:val="multilevel"/>
    <w:tmpl w:val="40D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B1E30"/>
    <w:multiLevelType w:val="multilevel"/>
    <w:tmpl w:val="7A3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a1MDAwMzMwNjFX0lEKTi0uzszPAykwqgUANNvf1SwAAAA="/>
  </w:docVars>
  <w:rsids>
    <w:rsidRoot w:val="003143EA"/>
    <w:rsid w:val="000023F5"/>
    <w:rsid w:val="00004F78"/>
    <w:rsid w:val="00006741"/>
    <w:rsid w:val="00022DBC"/>
    <w:rsid w:val="00025CCA"/>
    <w:rsid w:val="000A19A5"/>
    <w:rsid w:val="000C2831"/>
    <w:rsid w:val="000E48EA"/>
    <w:rsid w:val="00103B03"/>
    <w:rsid w:val="00136344"/>
    <w:rsid w:val="001505BC"/>
    <w:rsid w:val="001518F8"/>
    <w:rsid w:val="0015383F"/>
    <w:rsid w:val="00184785"/>
    <w:rsid w:val="00185DFA"/>
    <w:rsid w:val="00186A0D"/>
    <w:rsid w:val="00194D86"/>
    <w:rsid w:val="001C157E"/>
    <w:rsid w:val="001C2CB1"/>
    <w:rsid w:val="001C3923"/>
    <w:rsid w:val="001D102D"/>
    <w:rsid w:val="001F213B"/>
    <w:rsid w:val="00223561"/>
    <w:rsid w:val="0024597B"/>
    <w:rsid w:val="00257C20"/>
    <w:rsid w:val="00280B23"/>
    <w:rsid w:val="002834DF"/>
    <w:rsid w:val="002F01CF"/>
    <w:rsid w:val="002F0B95"/>
    <w:rsid w:val="002F2C19"/>
    <w:rsid w:val="003143EA"/>
    <w:rsid w:val="00391DD1"/>
    <w:rsid w:val="003B799E"/>
    <w:rsid w:val="003C11BC"/>
    <w:rsid w:val="003D1B18"/>
    <w:rsid w:val="003D5500"/>
    <w:rsid w:val="003D6E74"/>
    <w:rsid w:val="003E7A0D"/>
    <w:rsid w:val="00450C95"/>
    <w:rsid w:val="00451FDE"/>
    <w:rsid w:val="00464666"/>
    <w:rsid w:val="00465FAE"/>
    <w:rsid w:val="0047498A"/>
    <w:rsid w:val="004967A6"/>
    <w:rsid w:val="004D2952"/>
    <w:rsid w:val="005148E1"/>
    <w:rsid w:val="0053112E"/>
    <w:rsid w:val="00557667"/>
    <w:rsid w:val="00564874"/>
    <w:rsid w:val="005932D2"/>
    <w:rsid w:val="0059490D"/>
    <w:rsid w:val="00594DB4"/>
    <w:rsid w:val="005A4EF7"/>
    <w:rsid w:val="005B0B4C"/>
    <w:rsid w:val="005C7A99"/>
    <w:rsid w:val="005F4CB5"/>
    <w:rsid w:val="006161A8"/>
    <w:rsid w:val="00622F2D"/>
    <w:rsid w:val="0062771A"/>
    <w:rsid w:val="006420B8"/>
    <w:rsid w:val="00647DA5"/>
    <w:rsid w:val="00663FE3"/>
    <w:rsid w:val="006664D7"/>
    <w:rsid w:val="006815E2"/>
    <w:rsid w:val="006A53A6"/>
    <w:rsid w:val="006A7F24"/>
    <w:rsid w:val="006C11DF"/>
    <w:rsid w:val="006F6088"/>
    <w:rsid w:val="006F6ECC"/>
    <w:rsid w:val="006F791E"/>
    <w:rsid w:val="00700556"/>
    <w:rsid w:val="00704138"/>
    <w:rsid w:val="00720C75"/>
    <w:rsid w:val="007A2383"/>
    <w:rsid w:val="007A7D4B"/>
    <w:rsid w:val="007B7190"/>
    <w:rsid w:val="007E4AEF"/>
    <w:rsid w:val="007F324E"/>
    <w:rsid w:val="007F3444"/>
    <w:rsid w:val="00802D8B"/>
    <w:rsid w:val="00821B18"/>
    <w:rsid w:val="00821DB6"/>
    <w:rsid w:val="008558EA"/>
    <w:rsid w:val="00857D5C"/>
    <w:rsid w:val="008A49A8"/>
    <w:rsid w:val="008C107E"/>
    <w:rsid w:val="008D485E"/>
    <w:rsid w:val="008E19BE"/>
    <w:rsid w:val="008F2553"/>
    <w:rsid w:val="008F6DC5"/>
    <w:rsid w:val="00932612"/>
    <w:rsid w:val="0093366F"/>
    <w:rsid w:val="00937752"/>
    <w:rsid w:val="009958F8"/>
    <w:rsid w:val="009A0C6F"/>
    <w:rsid w:val="00A04AF1"/>
    <w:rsid w:val="00A3462C"/>
    <w:rsid w:val="00A53DFF"/>
    <w:rsid w:val="00A74B13"/>
    <w:rsid w:val="00AC375F"/>
    <w:rsid w:val="00B07C04"/>
    <w:rsid w:val="00B108A3"/>
    <w:rsid w:val="00B12042"/>
    <w:rsid w:val="00B138CE"/>
    <w:rsid w:val="00B212D6"/>
    <w:rsid w:val="00B37120"/>
    <w:rsid w:val="00B53EBD"/>
    <w:rsid w:val="00B93EF8"/>
    <w:rsid w:val="00BB3397"/>
    <w:rsid w:val="00BF0FC9"/>
    <w:rsid w:val="00BF2B4A"/>
    <w:rsid w:val="00C176BA"/>
    <w:rsid w:val="00C21FE0"/>
    <w:rsid w:val="00C42241"/>
    <w:rsid w:val="00C801A9"/>
    <w:rsid w:val="00C80EE4"/>
    <w:rsid w:val="00C90732"/>
    <w:rsid w:val="00CB2B69"/>
    <w:rsid w:val="00CB3F57"/>
    <w:rsid w:val="00CD13EF"/>
    <w:rsid w:val="00CF39E5"/>
    <w:rsid w:val="00D018F9"/>
    <w:rsid w:val="00D05BC4"/>
    <w:rsid w:val="00D05DDA"/>
    <w:rsid w:val="00D06AF1"/>
    <w:rsid w:val="00D11965"/>
    <w:rsid w:val="00D26DC8"/>
    <w:rsid w:val="00D300C4"/>
    <w:rsid w:val="00D379DF"/>
    <w:rsid w:val="00D43F41"/>
    <w:rsid w:val="00D50A0B"/>
    <w:rsid w:val="00D51D29"/>
    <w:rsid w:val="00DB2BA0"/>
    <w:rsid w:val="00DB2EAE"/>
    <w:rsid w:val="00DC37C2"/>
    <w:rsid w:val="00DD6875"/>
    <w:rsid w:val="00E13920"/>
    <w:rsid w:val="00E25A9A"/>
    <w:rsid w:val="00E5351A"/>
    <w:rsid w:val="00E70D7E"/>
    <w:rsid w:val="00E81984"/>
    <w:rsid w:val="00E922BB"/>
    <w:rsid w:val="00EB6188"/>
    <w:rsid w:val="00EC002E"/>
    <w:rsid w:val="00EC26B8"/>
    <w:rsid w:val="00EC6E8C"/>
    <w:rsid w:val="00ED31CD"/>
    <w:rsid w:val="00EF7B2A"/>
    <w:rsid w:val="00F02D84"/>
    <w:rsid w:val="00F22171"/>
    <w:rsid w:val="00F30DFF"/>
    <w:rsid w:val="00F313AD"/>
    <w:rsid w:val="00F366CF"/>
    <w:rsid w:val="00F37C68"/>
    <w:rsid w:val="00F41A3C"/>
    <w:rsid w:val="00F44F67"/>
    <w:rsid w:val="00F97459"/>
    <w:rsid w:val="00FB220D"/>
    <w:rsid w:val="00FB742A"/>
    <w:rsid w:val="00FD00FB"/>
    <w:rsid w:val="00FD02E7"/>
    <w:rsid w:val="00FD3DFA"/>
    <w:rsid w:val="00FE20E2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0DEC"/>
  <w15:chartTrackingRefBased/>
  <w15:docId w15:val="{90A5E391-E081-A94B-B8F5-54929B7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43EA"/>
  </w:style>
  <w:style w:type="paragraph" w:styleId="Noga">
    <w:name w:val="footer"/>
    <w:basedOn w:val="Navaden"/>
    <w:link w:val="Nog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143EA"/>
  </w:style>
  <w:style w:type="table" w:styleId="Tabelamrea">
    <w:name w:val="Table Grid"/>
    <w:basedOn w:val="Navadnatabela"/>
    <w:uiPriority w:val="39"/>
    <w:rsid w:val="0031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43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143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775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10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A04AF1"/>
    <w:pPr>
      <w:ind w:left="720"/>
      <w:contextualSpacing/>
    </w:pPr>
  </w:style>
  <w:style w:type="character" w:styleId="tevilkastrani">
    <w:name w:val="page number"/>
    <w:basedOn w:val="Privzetapisavaodstavka"/>
    <w:uiPriority w:val="99"/>
    <w:semiHidden/>
    <w:unhideWhenUsed/>
    <w:rsid w:val="006F6ECC"/>
  </w:style>
  <w:style w:type="character" w:styleId="Pripombasklic">
    <w:name w:val="annotation reference"/>
    <w:basedOn w:val="Privzetapisavaodstavka"/>
    <w:uiPriority w:val="99"/>
    <w:semiHidden/>
    <w:unhideWhenUsed/>
    <w:rsid w:val="002235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356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356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35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356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5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561"/>
    <w:rPr>
      <w:rFonts w:ascii="Segoe UI" w:hAnsi="Segoe UI" w:cs="Segoe UI"/>
      <w:sz w:val="18"/>
      <w:szCs w:val="18"/>
    </w:rPr>
  </w:style>
  <w:style w:type="character" w:customStyle="1" w:styleId="cfh2de">
    <w:name w:val="cfh2de"/>
    <w:basedOn w:val="Privzetapisavaodstavka"/>
    <w:rsid w:val="00185DFA"/>
  </w:style>
  <w:style w:type="character" w:styleId="Nerazreenaomemba">
    <w:name w:val="Unresolved Mention"/>
    <w:basedOn w:val="Privzetapisavaodstavka"/>
    <w:uiPriority w:val="99"/>
    <w:semiHidden/>
    <w:unhideWhenUsed/>
    <w:rsid w:val="0025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jcxy5TNQL_pPtf558em92qJJLkol4eLLoPin8QRIJVTlSUw/viewfor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jaz@focus.s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ABF08-07E3-452B-9C22-428D17D2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Matjaž Grmek</cp:lastModifiedBy>
  <cp:revision>3</cp:revision>
  <cp:lastPrinted>2023-03-21T09:46:00Z</cp:lastPrinted>
  <dcterms:created xsi:type="dcterms:W3CDTF">2023-11-16T13:03:00Z</dcterms:created>
  <dcterms:modified xsi:type="dcterms:W3CDTF">2023-11-16T13:17:00Z</dcterms:modified>
</cp:coreProperties>
</file>