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66F5A" w14:textId="77777777" w:rsidR="0085459E" w:rsidRPr="0085459E" w:rsidRDefault="0085459E" w:rsidP="00F24383">
      <w:pPr>
        <w:jc w:val="both"/>
      </w:pPr>
      <w:r w:rsidRPr="0085459E">
        <w:rPr>
          <w:b/>
          <w:bCs/>
        </w:rPr>
        <w:t>Zadeva: Predstavitev priporočil Skupine strokovnjakov na visoki ravni za prihodnost kohezijske politike, 20.2.2024, Bruselj</w:t>
      </w:r>
      <w:r w:rsidRPr="0085459E">
        <w:t xml:space="preserve"> </w:t>
      </w:r>
    </w:p>
    <w:p w14:paraId="380F62C3" w14:textId="77777777" w:rsidR="00F24383" w:rsidRDefault="0085459E" w:rsidP="00F24383">
      <w:pPr>
        <w:jc w:val="both"/>
      </w:pPr>
      <w:r w:rsidRPr="0085459E">
        <w:br/>
      </w:r>
      <w:r w:rsidRPr="0085459E">
        <w:rPr>
          <w:b/>
          <w:bCs/>
        </w:rPr>
        <w:t xml:space="preserve">Povzetek: </w:t>
      </w:r>
      <w:r w:rsidRPr="0085459E">
        <w:br/>
        <w:t xml:space="preserve">Priporočila skupine ne presenečajo, zavzemajo se za nadaljevanje močne kohezijske politike  (lokalni pristop, deljeno upravljanje, partnerstvo), ki pa jo je potrebno prilagoditi (potrebam regij, vlaganja v razvoj človeškega kapitala, sinergije z ostalimi EU in nacionalnimi pobudami, poenostavitve…) na nove razmere (de-globalizacija, avtomatizacija, robotizacija, zeleni prehod,  geopolitične razmere). Kohezija je potrebna bolj kot kdaj koli, če želi EU izkoristiti potenciale vsake regije, da ne bo ''pozabljenih'' regij, kjer se krepi nezaupanje v EU projekt (kohezija spodbuja skupen občutek pripadnosti EU), če se EU ne bo razvijala kot celotna, ne bo bolj odporna in konkurenčna. Obseg sredstev za prihodnjo kohezijsko politiko ni bil del priporočil, so pa razpravljavci opozorili, da mora kohezija imeti visoko prioriteto znotraj proračuna EU (kohezija predstavlja vsaj 1/3 proračuna), in upoštevati stroške širitve (integracijo novih članic v EU), ki pa ne sme biti na škodo prizadetih/ranljivih regij EU. Kohezijska politika je med bolj dejavnimi politikami glede priprav na 2027+, naslednji koraki so objava 9. kohezijskega poročila (sredina marca) in razprava na 9. kohezijskem forumu (11-12.4.2024). </w:t>
      </w:r>
    </w:p>
    <w:p w14:paraId="71236135" w14:textId="77777777" w:rsidR="00F24383" w:rsidRDefault="0085459E" w:rsidP="00F24383">
      <w:pPr>
        <w:jc w:val="both"/>
      </w:pPr>
      <w:r w:rsidRPr="0085459E">
        <w:br/>
      </w:r>
      <w:r w:rsidRPr="0085459E">
        <w:rPr>
          <w:b/>
          <w:bCs/>
        </w:rPr>
        <w:t>Vsebina</w:t>
      </w:r>
      <w:r w:rsidRPr="0085459E">
        <w:t xml:space="preserve"> </w:t>
      </w:r>
      <w:r w:rsidRPr="0085459E">
        <w:br/>
        <w:t>Neodvisna skupina strokovnjakov na visoki ravni za prihodnost kohezijske politike je predstavila svoje poročilo in priporočila za kohezijo 2027+. Skupino so sestavljali predstavniki akademskih krogov, nacionalnih, regionalnih in lokalnih oblasti ter civilne družbe po vsej EU (med člani tudi Jasna Gabrič, članica Evropskega odbora Regij). Skupina je imela 10 sej, razprave so se prenašale v živo in so na voljo na spletu (</w:t>
      </w:r>
      <w:hyperlink r:id="rId5" w:history="1">
        <w:r w:rsidRPr="0085459E">
          <w:rPr>
            <w:rStyle w:val="Hiperpovezava"/>
          </w:rPr>
          <w:t>https://ec.europa.eu/regional_policy/policy/how/future-cohesion-policy_en</w:t>
        </w:r>
      </w:hyperlink>
      <w:r w:rsidRPr="0085459E">
        <w:t xml:space="preserve">) </w:t>
      </w:r>
    </w:p>
    <w:p w14:paraId="4AED762C" w14:textId="3A9D848A" w:rsidR="00F24383" w:rsidRDefault="0085459E" w:rsidP="00F24383">
      <w:pPr>
        <w:jc w:val="both"/>
      </w:pPr>
      <w:r w:rsidRPr="0085459E">
        <w:t xml:space="preserve">V uvodu je komisarka </w:t>
      </w:r>
      <w:proofErr w:type="spellStart"/>
      <w:r w:rsidRPr="0085459E">
        <w:t>Ferreira</w:t>
      </w:r>
      <w:proofErr w:type="spellEnd"/>
      <w:r w:rsidRPr="0085459E">
        <w:t xml:space="preserve"> (kohezija in reforme) izpostavila:</w:t>
      </w:r>
    </w:p>
    <w:p w14:paraId="7664CC9F" w14:textId="5F50526F" w:rsidR="00F24383" w:rsidRDefault="0085459E" w:rsidP="00F24383">
      <w:pPr>
        <w:pStyle w:val="Odstavekseznama"/>
        <w:numPr>
          <w:ilvl w:val="0"/>
          <w:numId w:val="3"/>
        </w:numPr>
        <w:jc w:val="both"/>
      </w:pPr>
      <w:r w:rsidRPr="0085459E">
        <w:t xml:space="preserve">integracija novih DČ (2004), brez kohezije ne bi uspela </w:t>
      </w:r>
    </w:p>
    <w:p w14:paraId="40FC9F1D" w14:textId="30950D66" w:rsidR="00F24383" w:rsidRDefault="0085459E" w:rsidP="00F24383">
      <w:pPr>
        <w:pStyle w:val="Odstavekseznama"/>
        <w:numPr>
          <w:ilvl w:val="0"/>
          <w:numId w:val="3"/>
        </w:numPr>
        <w:jc w:val="both"/>
      </w:pPr>
      <w:r w:rsidRPr="0085459E">
        <w:t xml:space="preserve">kohezija je vezivo EU </w:t>
      </w:r>
    </w:p>
    <w:p w14:paraId="156A408D" w14:textId="612FCE7B" w:rsidR="00F24383" w:rsidRDefault="0085459E" w:rsidP="00F24383">
      <w:pPr>
        <w:pStyle w:val="Odstavekseznama"/>
        <w:numPr>
          <w:ilvl w:val="0"/>
          <w:numId w:val="3"/>
        </w:numPr>
        <w:jc w:val="both"/>
      </w:pPr>
      <w:r w:rsidRPr="0085459E">
        <w:t>ohranja usmerjenost v konkurenčnost</w:t>
      </w:r>
    </w:p>
    <w:p w14:paraId="7ABE640D" w14:textId="77777777" w:rsidR="00F24383" w:rsidRDefault="0085459E" w:rsidP="00F24383">
      <w:pPr>
        <w:pStyle w:val="Odstavekseznama"/>
        <w:numPr>
          <w:ilvl w:val="0"/>
          <w:numId w:val="3"/>
        </w:numPr>
        <w:jc w:val="both"/>
      </w:pPr>
      <w:r w:rsidRPr="0085459E">
        <w:t xml:space="preserve">evropski projekt ne bo v celoti uspešen, če bodo nekatera območja ostala zapostavljena </w:t>
      </w:r>
    </w:p>
    <w:p w14:paraId="01BA98FB" w14:textId="7E89779B" w:rsidR="00F24383" w:rsidRDefault="0085459E" w:rsidP="00F24383">
      <w:pPr>
        <w:pStyle w:val="Odstavekseznama"/>
        <w:numPr>
          <w:ilvl w:val="0"/>
          <w:numId w:val="3"/>
        </w:numPr>
        <w:jc w:val="both"/>
      </w:pPr>
      <w:r w:rsidRPr="0085459E">
        <w:t xml:space="preserve">da bo politika še uspešnejša se mora prilagoditi </w:t>
      </w:r>
    </w:p>
    <w:p w14:paraId="7C0915EB" w14:textId="48F90623" w:rsidR="00F24383" w:rsidRDefault="0085459E" w:rsidP="00F24383">
      <w:pPr>
        <w:jc w:val="both"/>
      </w:pPr>
      <w:r w:rsidRPr="0085459E">
        <w:br/>
        <w:t xml:space="preserve">Komisar Schmit (delovna mesta in socialne pravice) je izpostavil: </w:t>
      </w:r>
    </w:p>
    <w:p w14:paraId="62C47B91" w14:textId="0CE85153" w:rsidR="00F24383" w:rsidRDefault="0085459E" w:rsidP="00F24383">
      <w:pPr>
        <w:pStyle w:val="Odstavekseznama"/>
        <w:numPr>
          <w:ilvl w:val="0"/>
          <w:numId w:val="2"/>
        </w:numPr>
        <w:jc w:val="both"/>
      </w:pPr>
      <w:r w:rsidRPr="0085459E">
        <w:t xml:space="preserve">nimajo vsi enakih koristi od enotnega trga, zato potrebna solidarnost </w:t>
      </w:r>
    </w:p>
    <w:p w14:paraId="1ED37212" w14:textId="478491E7" w:rsidR="00F24383" w:rsidRDefault="0085459E" w:rsidP="00F24383">
      <w:pPr>
        <w:pStyle w:val="Odstavekseznama"/>
        <w:numPr>
          <w:ilvl w:val="0"/>
          <w:numId w:val="2"/>
        </w:numPr>
        <w:jc w:val="both"/>
      </w:pPr>
      <w:r w:rsidRPr="0085459E">
        <w:t>zaradi razvojnih razlik je EU manj globalno konkurenčna, ker ne izkoriščamo potenciale celotne EU (prebivalci imajo ''pravico'' ostati v prizadetih/ranljivih regijah, in izkoristit njihove razvojne potenciale)</w:t>
      </w:r>
    </w:p>
    <w:p w14:paraId="19FD0CD4" w14:textId="77777777" w:rsidR="00F24383" w:rsidRDefault="00F24383" w:rsidP="00F24383">
      <w:pPr>
        <w:pStyle w:val="Odstavekseznama"/>
        <w:jc w:val="both"/>
      </w:pPr>
    </w:p>
    <w:p w14:paraId="7B0EF5DA" w14:textId="1FEE1D57" w:rsidR="00F24383" w:rsidRDefault="0085459E" w:rsidP="00F24383">
      <w:pPr>
        <w:jc w:val="both"/>
      </w:pPr>
      <w:r w:rsidRPr="0085459E">
        <w:t xml:space="preserve">Priporočila skupine ne presenečajo, zavzemajo se za nadaljevanje močne kohezijske politike, ki pa jo je potrebno prilagoditi na nove razmere (de-globalizacija, avtomatizacija, robotizacija, zeleni prehod, geopolitične razmere). V razpravi je bilo izpostavljeno, da je kljub prilagoditvam politike, potrebno ohraniti predvidljivost in stabilnost izvajanja programov. Obseg sredstev za prihodnjo kohezijsko politiko ni bil del priporočil, so pa razpravljavci opozorili, da mora kohezija imeti visoko prioriteto znotraj proračuna EU (kohezija predstavlja 1/3 proračuna 2021-2027, po 2027+ ''tekmovati'' z novim prioritetam, kot je varnost), in upoštevati stroške širitve (integracijo novih članic v EU, ne na škodo prizadetih/ranljivih regij EU). </w:t>
      </w:r>
    </w:p>
    <w:p w14:paraId="10D451F3" w14:textId="77777777" w:rsidR="00F24383" w:rsidRDefault="0085459E" w:rsidP="00F24383">
      <w:pPr>
        <w:jc w:val="both"/>
      </w:pPr>
      <w:r w:rsidRPr="0085459E">
        <w:lastRenderedPageBreak/>
        <w:br/>
      </w:r>
      <w:r w:rsidRPr="0085459E">
        <w:br/>
        <w:t xml:space="preserve">Povzetek priporočil: </w:t>
      </w:r>
    </w:p>
    <w:p w14:paraId="11F87FD8" w14:textId="3C588A3B" w:rsidR="00F24383" w:rsidRDefault="0085459E" w:rsidP="00F24383">
      <w:pPr>
        <w:jc w:val="both"/>
      </w:pPr>
      <w:r w:rsidRPr="0085459E">
        <w:t xml:space="preserve">-kohezija izboljša blaginjo po vsej EU (zmanjšuje revščino, uspešna integracija po širitvi (nadpovprečna rast novih članic)), potrebna bolj kot kdaj koli, če želi EU izkoristiti potenciale vsake regije (kadrovske…), da ne bo ''pozabljenih'' regij, kjer se krepi nezaupanje v EU projekt (SI na vrhu po podpori EU), kohezija spodbuja skupen občutek pripadnosti EU </w:t>
      </w:r>
    </w:p>
    <w:p w14:paraId="169C5157" w14:textId="77777777" w:rsidR="00F24383" w:rsidRDefault="0085459E" w:rsidP="00F24383">
      <w:pPr>
        <w:jc w:val="both"/>
      </w:pPr>
      <w:r w:rsidRPr="0085459E">
        <w:br/>
      </w:r>
      <w:r w:rsidRPr="0085459E">
        <w:rPr>
          <w:u w:val="single"/>
        </w:rPr>
        <w:t>Kaj naj stori kohezijska politika?</w:t>
      </w:r>
      <w:r w:rsidRPr="0085459E">
        <w:t xml:space="preserve"> </w:t>
      </w:r>
    </w:p>
    <w:p w14:paraId="62BC3E3C" w14:textId="77777777" w:rsidR="00F24383" w:rsidRDefault="0085459E" w:rsidP="00F24383">
      <w:pPr>
        <w:jc w:val="both"/>
      </w:pPr>
      <w:r w:rsidRPr="0085459E">
        <w:t xml:space="preserve">-politika za vse regije, ki izkorišča neizkoriščen potencial EU, zlasti v manj razvitih/ranljivih (manjših) območjih (60 mil. državljanov živi v regijah v razvojni pasti, ki stagnirajo, predvsem v FR, IT, EL, pa tudi v DE (v SI izpostavljano Zasavska regija)), polarizacija na ravni DČ, razvoj se koncentrira v večje urbane regije (če se EU ne bo razvijala kot celotna, ne bo bolj odporna in konkurenčna), pozabljene regije in fragmentacija EU predstavljajo varnostno tveganje predvsem na zunanjih mejah EU, kohezija obravnava glavne strukturne izzive EU (nizka stopnja razvoja, dolgoročna stagnacija, pomanjkanje priložnosti v vseh regijah), in podpira pristop teritorialne pravičnosti </w:t>
      </w:r>
    </w:p>
    <w:p w14:paraId="28ED02B1" w14:textId="6AAC674D" w:rsidR="00F24383" w:rsidRDefault="0085459E" w:rsidP="00F24383">
      <w:pPr>
        <w:jc w:val="both"/>
      </w:pPr>
      <w:r w:rsidRPr="0085459E">
        <w:t xml:space="preserve">-zeleni prehod bo na koncu prinesel znatne koristi, vendar so številne regije zelo ranljive za sam prehod, neupoštevanje njegovega vpliva na ranljive regije ovira zeleni prehod </w:t>
      </w:r>
    </w:p>
    <w:p w14:paraId="7FA14650" w14:textId="69136A97" w:rsidR="00F24383" w:rsidRDefault="0085459E" w:rsidP="00F24383">
      <w:pPr>
        <w:jc w:val="both"/>
      </w:pPr>
      <w:r w:rsidRPr="0085459E">
        <w:br/>
      </w:r>
      <w:r w:rsidRPr="0085459E">
        <w:rPr>
          <w:u w:val="single"/>
        </w:rPr>
        <w:t>Kako naj se spremeni kohezijska politika?</w:t>
      </w:r>
      <w:r w:rsidRPr="0085459E">
        <w:t xml:space="preserve"> </w:t>
      </w:r>
    </w:p>
    <w:p w14:paraId="7563C4BF" w14:textId="17A97673" w:rsidR="00F24383" w:rsidRDefault="0085459E" w:rsidP="00F24383">
      <w:pPr>
        <w:pStyle w:val="Odstavekseznama"/>
        <w:numPr>
          <w:ilvl w:val="0"/>
          <w:numId w:val="4"/>
        </w:numPr>
        <w:jc w:val="both"/>
      </w:pPr>
      <w:r w:rsidRPr="0085459E">
        <w:t xml:space="preserve">okrepiti lokalni pristop, prilagojen izzivom in potrebam regij (izkoriščati lokalne potenciale, spodbujati sodelovanje in diverzifikacijo), krepitev zmogljivost/usposobljenost institucij in vlaganj v razvoj človeškega kapitala, nadaljevati z načelom močnega partnerstva (spodbuja širšo lastništvo nad politiko) in deljenim upravljanjem, okrepiti povezovanje regij v globalni tekmi iskanja boljših rešitev (inovacij), še večji poudarek usmerjenosti v uspešnost/rezultate v povezavi s teritorialnim pristopom, še obsežnejše poenostavitve postopkov (bolj prijaznih do uporabnikov), ohraniti poslanstvo spodbujanja trajnostnega razvoja in konkurenčnosti, hkrati pa prožnost reševanja nujnih izzivov </w:t>
      </w:r>
    </w:p>
    <w:p w14:paraId="674575E2" w14:textId="5B31C7A2" w:rsidR="00F24383" w:rsidRDefault="0085459E" w:rsidP="00F24383">
      <w:pPr>
        <w:pStyle w:val="Odstavekseznama"/>
        <w:numPr>
          <w:ilvl w:val="0"/>
          <w:numId w:val="4"/>
        </w:numPr>
        <w:jc w:val="both"/>
      </w:pPr>
      <w:r w:rsidRPr="0085459E">
        <w:t xml:space="preserve">iskati sinergije z drugimi EU in nacionalnimi pobudami (kohezijska politika sama ne zmore, kohezija je preveč pomembna, da bi jo prepustili samo kohezijski politiki), združevati konkurenčnost in kohezijo v okviru procesa evropskega semestra </w:t>
      </w:r>
    </w:p>
    <w:p w14:paraId="56EEF101" w14:textId="11035FEF" w:rsidR="00F24383" w:rsidRDefault="0085459E" w:rsidP="00F24383">
      <w:pPr>
        <w:jc w:val="both"/>
      </w:pPr>
      <w:r w:rsidRPr="0085459E">
        <w:br/>
      </w:r>
      <w:r w:rsidRPr="00F24383">
        <w:rPr>
          <w:u w:val="single"/>
        </w:rPr>
        <w:t>Širitev:</w:t>
      </w:r>
      <w:r w:rsidRPr="0085459E">
        <w:t xml:space="preserve"> </w:t>
      </w:r>
    </w:p>
    <w:p w14:paraId="6C1B43FC" w14:textId="77777777" w:rsidR="00F24383" w:rsidRDefault="00F24383" w:rsidP="00F24383">
      <w:pPr>
        <w:pStyle w:val="Odstavekseznama"/>
        <w:numPr>
          <w:ilvl w:val="0"/>
          <w:numId w:val="5"/>
        </w:numPr>
        <w:jc w:val="both"/>
      </w:pPr>
      <w:r>
        <w:t>k</w:t>
      </w:r>
      <w:r w:rsidR="0085459E" w:rsidRPr="0085459E">
        <w:t xml:space="preserve">ohezija ključna za integracijo prihodnjih DČ, vendar ne širitev na račun naložb v sedanjih regijah (regij, ki mejijo na nove članice, in regij, ki so jih spremembe evropskih in svetovnih vrednostnih verig najbolj prizadele) </w:t>
      </w:r>
    </w:p>
    <w:p w14:paraId="26BF7B63" w14:textId="2EDBBA0A" w:rsidR="00F24383" w:rsidRDefault="0085459E" w:rsidP="00F24383">
      <w:pPr>
        <w:jc w:val="both"/>
      </w:pPr>
      <w:r w:rsidRPr="0085459E">
        <w:t xml:space="preserve"> </w:t>
      </w:r>
      <w:r w:rsidRPr="0085459E">
        <w:br/>
        <w:t xml:space="preserve">Naslednji koraki so objava 9. kohezijskega poročila (sredina marca) in razprava na 9. kohezijskem forumu (11-12.4.2024). </w:t>
      </w:r>
    </w:p>
    <w:p w14:paraId="7773A1CE" w14:textId="77777777" w:rsidR="00F24383" w:rsidRDefault="0085459E" w:rsidP="00F24383">
      <w:pPr>
        <w:jc w:val="both"/>
      </w:pPr>
      <w:r w:rsidRPr="0085459E">
        <w:br/>
        <w:t xml:space="preserve">Predstavitev si je možno ogledati na spletni strani: </w:t>
      </w:r>
    </w:p>
    <w:p w14:paraId="7696362D" w14:textId="34778A73" w:rsidR="00C92AD6" w:rsidRDefault="00F24383" w:rsidP="00F24383">
      <w:pPr>
        <w:jc w:val="both"/>
      </w:pPr>
      <w:hyperlink r:id="rId6" w:history="1">
        <w:r w:rsidRPr="0085459E">
          <w:rPr>
            <w:rStyle w:val="Hiperpovezava"/>
          </w:rPr>
          <w:t>https://ec.europa.eu/regional_policy/policy/how/future-cohesion-policy_en</w:t>
        </w:r>
      </w:hyperlink>
      <w:r w:rsidR="0085459E" w:rsidRPr="0085459E">
        <w:t>,</w:t>
      </w:r>
    </w:p>
    <w:sectPr w:rsidR="00C92A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D1119"/>
    <w:multiLevelType w:val="hybridMultilevel"/>
    <w:tmpl w:val="338CCA6E"/>
    <w:lvl w:ilvl="0" w:tplc="732CBD2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B53451F"/>
    <w:multiLevelType w:val="hybridMultilevel"/>
    <w:tmpl w:val="2786A946"/>
    <w:lvl w:ilvl="0" w:tplc="732CBD2C">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41FB6BD8"/>
    <w:multiLevelType w:val="hybridMultilevel"/>
    <w:tmpl w:val="9050C462"/>
    <w:lvl w:ilvl="0" w:tplc="732CBD2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D590FAB"/>
    <w:multiLevelType w:val="hybridMultilevel"/>
    <w:tmpl w:val="87CC2EA2"/>
    <w:lvl w:ilvl="0" w:tplc="732CBD2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75010385"/>
    <w:multiLevelType w:val="hybridMultilevel"/>
    <w:tmpl w:val="D3AABB8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141926304">
    <w:abstractNumId w:val="4"/>
  </w:num>
  <w:num w:numId="2" w16cid:durableId="1851984963">
    <w:abstractNumId w:val="1"/>
  </w:num>
  <w:num w:numId="3" w16cid:durableId="1539080138">
    <w:abstractNumId w:val="2"/>
  </w:num>
  <w:num w:numId="4" w16cid:durableId="458106840">
    <w:abstractNumId w:val="3"/>
  </w:num>
  <w:num w:numId="5" w16cid:durableId="9347458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59E"/>
    <w:rsid w:val="0085459E"/>
    <w:rsid w:val="00873509"/>
    <w:rsid w:val="00C92AD6"/>
    <w:rsid w:val="00F2438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CD736"/>
  <w15:chartTrackingRefBased/>
  <w15:docId w15:val="{113BD5F5-3107-4071-BECC-AC332C4CB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85459E"/>
    <w:rPr>
      <w:color w:val="0563C1" w:themeColor="hyperlink"/>
      <w:u w:val="single"/>
    </w:rPr>
  </w:style>
  <w:style w:type="character" w:styleId="Nerazreenaomemba">
    <w:name w:val="Unresolved Mention"/>
    <w:basedOn w:val="Privzetapisavaodstavka"/>
    <w:uiPriority w:val="99"/>
    <w:semiHidden/>
    <w:unhideWhenUsed/>
    <w:rsid w:val="0085459E"/>
    <w:rPr>
      <w:color w:val="605E5C"/>
      <w:shd w:val="clear" w:color="auto" w:fill="E1DFDD"/>
    </w:rPr>
  </w:style>
  <w:style w:type="paragraph" w:styleId="Odstavekseznama">
    <w:name w:val="List Paragraph"/>
    <w:basedOn w:val="Navaden"/>
    <w:uiPriority w:val="34"/>
    <w:qFormat/>
    <w:rsid w:val="00F243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98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c.europa.eu/regional_policy/policy/how/future-cohesion-policy_en" TargetMode="External"/><Relationship Id="rId5" Type="http://schemas.openxmlformats.org/officeDocument/2006/relationships/hyperlink" Target="https://ec.europa.eu/regional_policy/policy/how/future-cohesion-policy_en"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927</Words>
  <Characters>5290</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Alja Lipnik</dc:creator>
  <cp:keywords/>
  <dc:description/>
  <cp:lastModifiedBy>Alja Lipnik</cp:lastModifiedBy>
  <cp:revision>1</cp:revision>
  <dcterms:created xsi:type="dcterms:W3CDTF">2024-02-26T07:57:00Z</dcterms:created>
  <dcterms:modified xsi:type="dcterms:W3CDTF">2024-02-26T09:42:00Z</dcterms:modified>
</cp:coreProperties>
</file>