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E9EBF" w14:textId="77777777" w:rsidR="00C71699" w:rsidRPr="006D1761" w:rsidRDefault="00C71699" w:rsidP="00B152F3">
      <w:pPr>
        <w:rPr>
          <w:lang w:val="sl-SI"/>
        </w:rPr>
      </w:pPr>
    </w:p>
    <w:p w14:paraId="774CE777" w14:textId="77777777" w:rsidR="00B152F3" w:rsidRPr="006D1761" w:rsidRDefault="00B152F3" w:rsidP="00B152F3">
      <w:pPr>
        <w:rPr>
          <w:lang w:val="sl-SI"/>
        </w:rPr>
      </w:pPr>
    </w:p>
    <w:tbl>
      <w:tblPr>
        <w:tblpPr w:leftFromText="141" w:rightFromText="141" w:vertAnchor="text" w:tblpY="1"/>
        <w:tblOverlap w:val="never"/>
        <w:tblW w:w="9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35"/>
        <w:gridCol w:w="630"/>
        <w:gridCol w:w="892"/>
        <w:gridCol w:w="1414"/>
        <w:gridCol w:w="417"/>
        <w:gridCol w:w="913"/>
        <w:gridCol w:w="495"/>
        <w:gridCol w:w="188"/>
        <w:gridCol w:w="385"/>
        <w:gridCol w:w="110"/>
        <w:gridCol w:w="193"/>
        <w:gridCol w:w="2194"/>
      </w:tblGrid>
      <w:tr w:rsidR="00B152F3" w:rsidRPr="006D1761" w14:paraId="52852363" w14:textId="77777777" w:rsidTr="00A23D5D">
        <w:trPr>
          <w:gridAfter w:val="5"/>
          <w:wAfter w:w="3070" w:type="dxa"/>
        </w:trPr>
        <w:tc>
          <w:tcPr>
            <w:tcW w:w="6096" w:type="dxa"/>
            <w:gridSpan w:val="7"/>
          </w:tcPr>
          <w:p w14:paraId="5C58B784" w14:textId="0D0DE106" w:rsidR="00B152F3" w:rsidRPr="006D1761" w:rsidRDefault="00B152F3" w:rsidP="00B152F3">
            <w:pPr>
              <w:rPr>
                <w:rFonts w:cs="Arial"/>
                <w:szCs w:val="20"/>
                <w:lang w:val="sl-SI"/>
              </w:rPr>
            </w:pPr>
            <w:r w:rsidRPr="006D1761">
              <w:rPr>
                <w:rFonts w:cs="Arial"/>
                <w:szCs w:val="20"/>
                <w:lang w:val="sl-SI"/>
              </w:rPr>
              <w:t xml:space="preserve">Številka: </w:t>
            </w:r>
            <w:r w:rsidR="0062455C" w:rsidRPr="006D1761">
              <w:rPr>
                <w:rFonts w:cs="Arial"/>
                <w:szCs w:val="20"/>
                <w:lang w:val="sl-SI"/>
              </w:rPr>
              <w:t>007-</w:t>
            </w:r>
            <w:r w:rsidR="00804BB9">
              <w:rPr>
                <w:rFonts w:cs="Arial"/>
                <w:szCs w:val="20"/>
                <w:lang w:val="sl-SI"/>
              </w:rPr>
              <w:t>66/</w:t>
            </w:r>
            <w:r w:rsidR="0062455C" w:rsidRPr="006D1761">
              <w:rPr>
                <w:rFonts w:cs="Arial"/>
                <w:szCs w:val="20"/>
                <w:lang w:val="sl-SI"/>
              </w:rPr>
              <w:t>202</w:t>
            </w:r>
            <w:r w:rsidR="00804BB9">
              <w:rPr>
                <w:rFonts w:cs="Arial"/>
                <w:szCs w:val="20"/>
                <w:lang w:val="sl-SI"/>
              </w:rPr>
              <w:t>3</w:t>
            </w:r>
            <w:r w:rsidR="0062455C" w:rsidRPr="006D1761">
              <w:rPr>
                <w:rFonts w:cs="Arial"/>
                <w:szCs w:val="20"/>
                <w:lang w:val="sl-SI"/>
              </w:rPr>
              <w:t>-</w:t>
            </w:r>
            <w:r w:rsidR="00804BB9">
              <w:rPr>
                <w:rFonts w:cs="Arial"/>
                <w:szCs w:val="20"/>
                <w:lang w:val="sl-SI"/>
              </w:rPr>
              <w:t>36</w:t>
            </w:r>
          </w:p>
        </w:tc>
      </w:tr>
      <w:tr w:rsidR="00B152F3" w:rsidRPr="006D1761" w14:paraId="41436DA4" w14:textId="77777777" w:rsidTr="00A23D5D">
        <w:trPr>
          <w:gridAfter w:val="5"/>
          <w:wAfter w:w="3070" w:type="dxa"/>
        </w:trPr>
        <w:tc>
          <w:tcPr>
            <w:tcW w:w="6096" w:type="dxa"/>
            <w:gridSpan w:val="7"/>
          </w:tcPr>
          <w:p w14:paraId="58AB5E09" w14:textId="03A5C953" w:rsidR="00B152F3" w:rsidRPr="006D1761" w:rsidRDefault="00B152F3" w:rsidP="00B152F3">
            <w:pPr>
              <w:rPr>
                <w:rFonts w:cs="Arial"/>
                <w:szCs w:val="20"/>
                <w:lang w:val="sl-SI"/>
              </w:rPr>
            </w:pPr>
            <w:r w:rsidRPr="006D1761">
              <w:rPr>
                <w:rFonts w:cs="Arial"/>
                <w:szCs w:val="20"/>
                <w:lang w:val="sl-SI"/>
              </w:rPr>
              <w:t xml:space="preserve">Ljubljana, </w:t>
            </w:r>
            <w:r w:rsidR="00FD20CD">
              <w:rPr>
                <w:rFonts w:cs="Arial"/>
                <w:szCs w:val="20"/>
                <w:lang w:val="sl-SI"/>
              </w:rPr>
              <w:t>15</w:t>
            </w:r>
            <w:r w:rsidR="0062455C" w:rsidRPr="006D1761">
              <w:rPr>
                <w:rFonts w:cs="Arial"/>
                <w:szCs w:val="20"/>
                <w:lang w:val="sl-SI"/>
              </w:rPr>
              <w:t xml:space="preserve">. </w:t>
            </w:r>
            <w:r w:rsidR="00FD20CD">
              <w:rPr>
                <w:rFonts w:cs="Arial"/>
                <w:szCs w:val="20"/>
                <w:lang w:val="sl-SI"/>
              </w:rPr>
              <w:t>5</w:t>
            </w:r>
            <w:r w:rsidR="0062455C" w:rsidRPr="006D1761">
              <w:rPr>
                <w:rFonts w:cs="Arial"/>
                <w:szCs w:val="20"/>
                <w:lang w:val="sl-SI"/>
              </w:rPr>
              <w:t>. 202</w:t>
            </w:r>
            <w:r w:rsidR="00151354" w:rsidRPr="006D1761">
              <w:rPr>
                <w:rFonts w:cs="Arial"/>
                <w:szCs w:val="20"/>
                <w:lang w:val="sl-SI"/>
              </w:rPr>
              <w:t>4</w:t>
            </w:r>
          </w:p>
        </w:tc>
      </w:tr>
      <w:tr w:rsidR="00B152F3" w:rsidRPr="006D1761" w14:paraId="5BC085E6" w14:textId="77777777" w:rsidTr="00A23D5D">
        <w:trPr>
          <w:gridAfter w:val="5"/>
          <w:wAfter w:w="3070" w:type="dxa"/>
        </w:trPr>
        <w:tc>
          <w:tcPr>
            <w:tcW w:w="6096" w:type="dxa"/>
            <w:gridSpan w:val="7"/>
          </w:tcPr>
          <w:p w14:paraId="52D1F568" w14:textId="54E8D334" w:rsidR="00B152F3" w:rsidRPr="006D1761" w:rsidRDefault="00B152F3" w:rsidP="00B152F3">
            <w:pPr>
              <w:rPr>
                <w:rFonts w:cs="Arial"/>
                <w:iCs/>
                <w:szCs w:val="20"/>
                <w:lang w:val="sl-SI"/>
              </w:rPr>
            </w:pPr>
            <w:r w:rsidRPr="006D1761">
              <w:rPr>
                <w:rFonts w:cs="Arial"/>
                <w:iCs/>
                <w:szCs w:val="20"/>
                <w:lang w:val="sl-SI"/>
              </w:rPr>
              <w:t xml:space="preserve">EVA </w:t>
            </w:r>
            <w:r w:rsidR="00AE6CE3" w:rsidRPr="006D1761">
              <w:rPr>
                <w:rFonts w:cs="Arial"/>
                <w:iCs/>
                <w:szCs w:val="20"/>
                <w:lang w:val="sl-SI"/>
              </w:rPr>
              <w:t>202</w:t>
            </w:r>
            <w:r w:rsidR="00151354" w:rsidRPr="006D1761">
              <w:rPr>
                <w:rFonts w:cs="Arial"/>
                <w:iCs/>
                <w:szCs w:val="20"/>
                <w:lang w:val="sl-SI"/>
              </w:rPr>
              <w:t>3</w:t>
            </w:r>
            <w:r w:rsidR="00AE6CE3" w:rsidRPr="006D1761">
              <w:rPr>
                <w:rFonts w:cs="Arial"/>
                <w:iCs/>
                <w:szCs w:val="20"/>
                <w:lang w:val="sl-SI"/>
              </w:rPr>
              <w:t>-</w:t>
            </w:r>
            <w:r w:rsidR="0062455C" w:rsidRPr="006D1761">
              <w:rPr>
                <w:rFonts w:cs="Arial"/>
                <w:iCs/>
                <w:szCs w:val="20"/>
                <w:lang w:val="sl-SI"/>
              </w:rPr>
              <w:t>1544</w:t>
            </w:r>
            <w:r w:rsidR="00AE6CE3" w:rsidRPr="006D1761">
              <w:rPr>
                <w:rFonts w:cs="Arial"/>
                <w:iCs/>
                <w:szCs w:val="20"/>
                <w:lang w:val="sl-SI"/>
              </w:rPr>
              <w:t>-00</w:t>
            </w:r>
            <w:r w:rsidR="0062455C" w:rsidRPr="006D1761">
              <w:rPr>
                <w:rFonts w:cs="Arial"/>
                <w:iCs/>
                <w:szCs w:val="20"/>
                <w:lang w:val="sl-SI"/>
              </w:rPr>
              <w:t>0</w:t>
            </w:r>
            <w:r w:rsidR="00151354" w:rsidRPr="006D1761">
              <w:rPr>
                <w:rFonts w:cs="Arial"/>
                <w:iCs/>
                <w:szCs w:val="20"/>
                <w:lang w:val="sl-SI"/>
              </w:rPr>
              <w:t>5</w:t>
            </w:r>
          </w:p>
        </w:tc>
      </w:tr>
      <w:tr w:rsidR="00B152F3" w:rsidRPr="006D1761" w14:paraId="1B8F264E" w14:textId="77777777" w:rsidTr="00A23D5D">
        <w:trPr>
          <w:gridAfter w:val="5"/>
          <w:wAfter w:w="3070" w:type="dxa"/>
        </w:trPr>
        <w:tc>
          <w:tcPr>
            <w:tcW w:w="6096" w:type="dxa"/>
            <w:gridSpan w:val="7"/>
          </w:tcPr>
          <w:p w14:paraId="03DDB0B6" w14:textId="77777777" w:rsidR="00B152F3" w:rsidRPr="006D1761" w:rsidRDefault="00B152F3" w:rsidP="00B152F3">
            <w:pPr>
              <w:rPr>
                <w:rFonts w:cs="Arial"/>
                <w:szCs w:val="20"/>
                <w:lang w:val="sl-SI"/>
              </w:rPr>
            </w:pPr>
            <w:r w:rsidRPr="006D1761">
              <w:rPr>
                <w:rFonts w:cs="Arial"/>
                <w:szCs w:val="20"/>
                <w:lang w:val="sl-SI"/>
              </w:rPr>
              <w:t>GENERALNI SEKRETARIAT VLADE REPUBLIKE SLOVENIJE</w:t>
            </w:r>
          </w:p>
          <w:p w14:paraId="6AD0D5A9" w14:textId="1967AA13" w:rsidR="00B152F3" w:rsidRPr="006D1761" w:rsidRDefault="00804BB9" w:rsidP="00B152F3">
            <w:pPr>
              <w:rPr>
                <w:rFonts w:cs="Arial"/>
                <w:szCs w:val="20"/>
                <w:lang w:val="sl-SI"/>
              </w:rPr>
            </w:pPr>
            <w:hyperlink r:id="rId8" w:history="1">
              <w:r w:rsidR="00AE6CE3" w:rsidRPr="006D1761">
                <w:rPr>
                  <w:rStyle w:val="Hiperpovezava"/>
                  <w:rFonts w:cs="Arial"/>
                  <w:szCs w:val="20"/>
                  <w:lang w:val="sl-SI"/>
                </w:rPr>
                <w:t>gp.gs@gov.si</w:t>
              </w:r>
            </w:hyperlink>
            <w:r w:rsidR="00AE6CE3" w:rsidRPr="006D1761">
              <w:rPr>
                <w:rFonts w:cs="Arial"/>
                <w:szCs w:val="20"/>
                <w:lang w:val="sl-SI"/>
              </w:rPr>
              <w:t xml:space="preserve"> </w:t>
            </w:r>
          </w:p>
          <w:p w14:paraId="68A1A04A" w14:textId="77777777" w:rsidR="00B152F3" w:rsidRPr="006D1761" w:rsidRDefault="00B152F3" w:rsidP="00B152F3">
            <w:pPr>
              <w:rPr>
                <w:rFonts w:cs="Arial"/>
                <w:szCs w:val="20"/>
                <w:lang w:val="sl-SI"/>
              </w:rPr>
            </w:pPr>
          </w:p>
        </w:tc>
      </w:tr>
      <w:tr w:rsidR="00B152F3" w:rsidRPr="00804BB9" w14:paraId="3EBF63A4" w14:textId="77777777" w:rsidTr="00A23D5D">
        <w:tc>
          <w:tcPr>
            <w:tcW w:w="9166" w:type="dxa"/>
            <w:gridSpan w:val="12"/>
          </w:tcPr>
          <w:p w14:paraId="5DBD35A2" w14:textId="687E5E25" w:rsidR="00B152F3" w:rsidRPr="006D1761" w:rsidRDefault="00B152F3" w:rsidP="00B152F3">
            <w:pPr>
              <w:jc w:val="both"/>
              <w:rPr>
                <w:rFonts w:cs="Arial"/>
                <w:b/>
                <w:szCs w:val="20"/>
                <w:lang w:val="sl-SI"/>
              </w:rPr>
            </w:pPr>
            <w:r w:rsidRPr="006D1761">
              <w:rPr>
                <w:rFonts w:cs="Arial"/>
                <w:b/>
                <w:szCs w:val="20"/>
                <w:lang w:val="sl-SI"/>
              </w:rPr>
              <w:t>ZADEVA:</w:t>
            </w:r>
            <w:bookmarkStart w:id="0" w:name="_Hlk125526311"/>
            <w:r w:rsidR="008E59A3" w:rsidRPr="006D1761">
              <w:rPr>
                <w:rFonts w:cs="Arial"/>
                <w:b/>
                <w:szCs w:val="20"/>
                <w:lang w:val="sl-SI"/>
              </w:rPr>
              <w:t xml:space="preserve"> </w:t>
            </w:r>
            <w:r w:rsidRPr="006D1761">
              <w:rPr>
                <w:rFonts w:cs="Arial"/>
                <w:b/>
                <w:szCs w:val="20"/>
                <w:lang w:val="sl-SI"/>
              </w:rPr>
              <w:t xml:space="preserve">Zakon o informacijski varnosti </w:t>
            </w:r>
            <w:bookmarkEnd w:id="0"/>
            <w:r w:rsidRPr="006D1761">
              <w:rPr>
                <w:rFonts w:cs="Arial"/>
                <w:b/>
                <w:szCs w:val="20"/>
                <w:lang w:val="sl-SI"/>
              </w:rPr>
              <w:t>(</w:t>
            </w:r>
            <w:r w:rsidRPr="006D1761">
              <w:rPr>
                <w:rFonts w:cs="Arial"/>
                <w:b/>
                <w:iCs/>
                <w:szCs w:val="20"/>
                <w:lang w:val="sl-SI"/>
              </w:rPr>
              <w:t xml:space="preserve">EVA </w:t>
            </w:r>
            <w:r w:rsidR="00151354" w:rsidRPr="006D1761">
              <w:rPr>
                <w:rFonts w:cs="Arial"/>
                <w:b/>
                <w:iCs/>
                <w:szCs w:val="20"/>
                <w:lang w:val="sl-SI"/>
              </w:rPr>
              <w:t>2023-1544-0005</w:t>
            </w:r>
            <w:r w:rsidRPr="006D1761">
              <w:rPr>
                <w:rFonts w:cs="Arial"/>
                <w:b/>
                <w:iCs/>
                <w:szCs w:val="20"/>
                <w:lang w:val="sl-SI"/>
              </w:rPr>
              <w:t>) –</w:t>
            </w:r>
            <w:r w:rsidRPr="006D1761">
              <w:rPr>
                <w:rFonts w:cs="Arial"/>
                <w:b/>
                <w:szCs w:val="20"/>
                <w:lang w:val="sl-SI"/>
              </w:rPr>
              <w:t xml:space="preserve"> predlog za obravnavo</w:t>
            </w:r>
            <w:r w:rsidR="0053264D" w:rsidRPr="006D1761">
              <w:rPr>
                <w:rFonts w:cs="Arial"/>
                <w:b/>
                <w:szCs w:val="20"/>
                <w:lang w:val="sl-SI"/>
              </w:rPr>
              <w:t xml:space="preserve">, </w:t>
            </w:r>
            <w:r w:rsidR="00151354" w:rsidRPr="006D1761">
              <w:rPr>
                <w:rFonts w:cs="Arial"/>
                <w:b/>
                <w:szCs w:val="20"/>
                <w:lang w:val="sl-SI"/>
              </w:rPr>
              <w:t>redni</w:t>
            </w:r>
            <w:r w:rsidR="0053264D" w:rsidRPr="006D1761">
              <w:rPr>
                <w:rFonts w:cs="Arial"/>
                <w:b/>
                <w:szCs w:val="20"/>
                <w:lang w:val="sl-SI"/>
              </w:rPr>
              <w:t xml:space="preserve"> postopek</w:t>
            </w:r>
          </w:p>
        </w:tc>
      </w:tr>
      <w:tr w:rsidR="00B152F3" w:rsidRPr="006D1761" w14:paraId="706DAF00" w14:textId="77777777" w:rsidTr="00A23D5D">
        <w:tc>
          <w:tcPr>
            <w:tcW w:w="9166" w:type="dxa"/>
            <w:gridSpan w:val="12"/>
          </w:tcPr>
          <w:p w14:paraId="4F5E519C" w14:textId="77777777" w:rsidR="00B152F3" w:rsidRPr="006D1761" w:rsidRDefault="00B152F3" w:rsidP="00B152F3">
            <w:pPr>
              <w:rPr>
                <w:rFonts w:cs="Arial"/>
                <w:b/>
                <w:szCs w:val="20"/>
                <w:lang w:val="sl-SI"/>
              </w:rPr>
            </w:pPr>
            <w:r w:rsidRPr="006D1761">
              <w:rPr>
                <w:rFonts w:cs="Arial"/>
                <w:b/>
                <w:szCs w:val="20"/>
                <w:lang w:val="sl-SI"/>
              </w:rPr>
              <w:t>1. Predlog sklepov vlade:</w:t>
            </w:r>
          </w:p>
        </w:tc>
      </w:tr>
      <w:tr w:rsidR="00B152F3" w:rsidRPr="00FD7F71" w14:paraId="0BA72B28" w14:textId="77777777" w:rsidTr="00A23D5D">
        <w:tc>
          <w:tcPr>
            <w:tcW w:w="9166" w:type="dxa"/>
            <w:gridSpan w:val="12"/>
          </w:tcPr>
          <w:p w14:paraId="3ADF9154" w14:textId="77777777" w:rsidR="00B152F3" w:rsidRPr="006D1761" w:rsidRDefault="00B152F3" w:rsidP="00B152F3">
            <w:pPr>
              <w:rPr>
                <w:rFonts w:cs="Arial"/>
                <w:szCs w:val="20"/>
                <w:lang w:val="sl-SI"/>
              </w:rPr>
            </w:pPr>
          </w:p>
          <w:p w14:paraId="2DD726F2" w14:textId="7A42D8C0" w:rsidR="00B152F3" w:rsidRPr="006D1761" w:rsidRDefault="00B152F3" w:rsidP="00B152F3">
            <w:pPr>
              <w:jc w:val="both"/>
              <w:rPr>
                <w:rFonts w:cs="Arial"/>
                <w:szCs w:val="20"/>
                <w:lang w:val="sl-SI"/>
              </w:rPr>
            </w:pPr>
            <w:bookmarkStart w:id="1" w:name="_Hlk70580240"/>
            <w:r w:rsidRPr="006D1761">
              <w:rPr>
                <w:rFonts w:cs="Arial"/>
                <w:szCs w:val="20"/>
                <w:lang w:val="sl-SI"/>
              </w:rPr>
              <w:t xml:space="preserve">Na podlagi drugega odstavka 2. člena Zakona o Vladi Republike Slovenije </w:t>
            </w:r>
            <w:r w:rsidR="00AE6CE3" w:rsidRPr="006D1761">
              <w:rPr>
                <w:rFonts w:cs="Arial"/>
                <w:szCs w:val="20"/>
                <w:lang w:val="sl-SI"/>
              </w:rPr>
              <w:t xml:space="preserve">(Uradni list RS, št. 24/05 – uradno prečiščeno besedilo, 109/08, 38/10 – ZUKN, 8/12, 21/13, 47/13 – ZDU-1G, 65/14, 55/17 in 163/22) </w:t>
            </w:r>
            <w:r w:rsidRPr="006D1761">
              <w:rPr>
                <w:rFonts w:cs="Arial"/>
                <w:szCs w:val="20"/>
                <w:lang w:val="sl-SI"/>
              </w:rPr>
              <w:t>je Vlada Republike Slovenije na ........... seji dne .......... pod točko ....... sprejela sklep:</w:t>
            </w:r>
          </w:p>
          <w:bookmarkEnd w:id="1"/>
          <w:p w14:paraId="31FDED2E" w14:textId="77777777" w:rsidR="00B152F3" w:rsidRPr="006D1761" w:rsidRDefault="00B152F3" w:rsidP="00B152F3">
            <w:pPr>
              <w:rPr>
                <w:rFonts w:cs="Arial"/>
                <w:szCs w:val="20"/>
                <w:lang w:val="sl-SI"/>
              </w:rPr>
            </w:pPr>
          </w:p>
          <w:p w14:paraId="7580BA53" w14:textId="16EFCC11" w:rsidR="00B152F3" w:rsidRPr="006D1761" w:rsidRDefault="00B152F3" w:rsidP="00B152F3">
            <w:pPr>
              <w:jc w:val="both"/>
              <w:rPr>
                <w:rFonts w:cs="Arial"/>
                <w:szCs w:val="20"/>
                <w:lang w:val="sl-SI"/>
              </w:rPr>
            </w:pPr>
            <w:r w:rsidRPr="006D1761">
              <w:rPr>
                <w:rFonts w:cs="Arial"/>
                <w:szCs w:val="20"/>
                <w:lang w:val="sl-SI"/>
              </w:rPr>
              <w:t>Vlada Republike Slovenije je določila besedilo predloga Zakona o informacijski varnosti (</w:t>
            </w:r>
            <w:r w:rsidRPr="006D1761">
              <w:rPr>
                <w:rFonts w:cs="Arial"/>
                <w:iCs/>
                <w:szCs w:val="20"/>
                <w:lang w:val="sl-SI"/>
              </w:rPr>
              <w:t xml:space="preserve">EVA </w:t>
            </w:r>
            <w:r w:rsidR="0062455C" w:rsidRPr="006D1761">
              <w:rPr>
                <w:rFonts w:cs="Arial"/>
                <w:iCs/>
                <w:szCs w:val="20"/>
                <w:lang w:val="sl-SI"/>
              </w:rPr>
              <w:t>2023-1544-000</w:t>
            </w:r>
            <w:r w:rsidR="00151354" w:rsidRPr="006D1761">
              <w:rPr>
                <w:rFonts w:cs="Arial"/>
                <w:iCs/>
                <w:szCs w:val="20"/>
                <w:lang w:val="sl-SI"/>
              </w:rPr>
              <w:t>5</w:t>
            </w:r>
            <w:r w:rsidRPr="006D1761">
              <w:rPr>
                <w:rFonts w:cs="Arial"/>
                <w:iCs/>
                <w:szCs w:val="20"/>
                <w:lang w:val="sl-SI"/>
              </w:rPr>
              <w:t>) i</w:t>
            </w:r>
            <w:r w:rsidRPr="006D1761">
              <w:rPr>
                <w:rFonts w:cs="Arial"/>
                <w:szCs w:val="20"/>
                <w:lang w:val="sl-SI"/>
              </w:rPr>
              <w:t>n ga pošlje v obravnavo Državnemu zboru</w:t>
            </w:r>
            <w:r w:rsidRPr="006D1761">
              <w:rPr>
                <w:rFonts w:cs="Arial"/>
                <w:iCs/>
                <w:szCs w:val="20"/>
                <w:lang w:val="sl-SI"/>
              </w:rPr>
              <w:t xml:space="preserve"> Republike Slovenije po </w:t>
            </w:r>
            <w:r w:rsidR="00151354" w:rsidRPr="006D1761">
              <w:rPr>
                <w:rFonts w:cs="Arial"/>
                <w:iCs/>
                <w:szCs w:val="20"/>
                <w:lang w:val="sl-SI"/>
              </w:rPr>
              <w:t>rednem</w:t>
            </w:r>
            <w:r w:rsidRPr="006D1761">
              <w:rPr>
                <w:rFonts w:cs="Arial"/>
                <w:iCs/>
                <w:szCs w:val="20"/>
                <w:lang w:val="sl-SI"/>
              </w:rPr>
              <w:t xml:space="preserve"> postopku</w:t>
            </w:r>
            <w:r w:rsidRPr="006D1761">
              <w:rPr>
                <w:rFonts w:cs="Arial"/>
                <w:szCs w:val="20"/>
                <w:lang w:val="sl-SI"/>
              </w:rPr>
              <w:t>.</w:t>
            </w:r>
          </w:p>
          <w:p w14:paraId="66790054" w14:textId="77777777" w:rsidR="00B152F3" w:rsidRPr="006D1761" w:rsidRDefault="00B152F3" w:rsidP="00B152F3">
            <w:pPr>
              <w:rPr>
                <w:rFonts w:cs="Arial"/>
                <w:szCs w:val="20"/>
                <w:lang w:val="sl-SI"/>
              </w:rPr>
            </w:pPr>
          </w:p>
          <w:p w14:paraId="4B0E9239" w14:textId="77777777" w:rsidR="00B152F3" w:rsidRPr="006D1761" w:rsidRDefault="00B152F3" w:rsidP="00B152F3">
            <w:pPr>
              <w:ind w:left="5274"/>
              <w:rPr>
                <w:rFonts w:cs="Arial"/>
                <w:szCs w:val="20"/>
                <w:lang w:val="sl-SI"/>
              </w:rPr>
            </w:pPr>
            <w:r w:rsidRPr="006D1761">
              <w:rPr>
                <w:rFonts w:cs="Arial"/>
                <w:szCs w:val="20"/>
                <w:lang w:val="sl-SI"/>
              </w:rPr>
              <w:t xml:space="preserve">          </w:t>
            </w:r>
          </w:p>
          <w:p w14:paraId="1B031723" w14:textId="6DDF6891" w:rsidR="00AE6CE3" w:rsidRPr="006D1761" w:rsidRDefault="00AE6CE3" w:rsidP="00E1666F">
            <w:pPr>
              <w:ind w:left="5127"/>
              <w:rPr>
                <w:rFonts w:cs="Arial"/>
                <w:szCs w:val="20"/>
                <w:lang w:val="sl-SI"/>
              </w:rPr>
            </w:pPr>
            <w:r w:rsidRPr="006D1761">
              <w:rPr>
                <w:rFonts w:cs="Arial"/>
                <w:szCs w:val="20"/>
                <w:lang w:val="sl-SI"/>
              </w:rPr>
              <w:t>Barbara Kolenko Helbl</w:t>
            </w:r>
          </w:p>
          <w:p w14:paraId="2B2EE8C7" w14:textId="374D9AC9" w:rsidR="00B152F3" w:rsidRPr="006D1761" w:rsidRDefault="00AE6CE3" w:rsidP="00E1666F">
            <w:pPr>
              <w:ind w:left="5127"/>
              <w:rPr>
                <w:rFonts w:cs="Arial"/>
                <w:szCs w:val="20"/>
                <w:lang w:val="sl-SI"/>
              </w:rPr>
            </w:pPr>
            <w:r w:rsidRPr="006D1761">
              <w:rPr>
                <w:rFonts w:cs="Arial"/>
                <w:szCs w:val="20"/>
                <w:lang w:val="sl-SI"/>
              </w:rPr>
              <w:t>GENERALNA SEKRETARK</w:t>
            </w:r>
            <w:r w:rsidR="00E1666F">
              <w:rPr>
                <w:rFonts w:cs="Arial"/>
                <w:szCs w:val="20"/>
                <w:lang w:val="sl-SI"/>
              </w:rPr>
              <w:t>A</w:t>
            </w:r>
          </w:p>
          <w:p w14:paraId="3EF8CB1D" w14:textId="77777777" w:rsidR="00B152F3" w:rsidRPr="006D1761" w:rsidRDefault="00B152F3" w:rsidP="00B152F3">
            <w:pPr>
              <w:rPr>
                <w:rFonts w:cs="Arial"/>
                <w:szCs w:val="20"/>
                <w:lang w:val="sl-SI"/>
              </w:rPr>
            </w:pPr>
          </w:p>
          <w:p w14:paraId="6994F245" w14:textId="77777777" w:rsidR="00B152F3" w:rsidRPr="006D1761" w:rsidRDefault="00B152F3" w:rsidP="00B152F3">
            <w:pPr>
              <w:rPr>
                <w:rFonts w:cs="Arial"/>
                <w:szCs w:val="20"/>
                <w:lang w:val="sl-SI"/>
              </w:rPr>
            </w:pPr>
            <w:r w:rsidRPr="006D1761">
              <w:rPr>
                <w:rFonts w:cs="Arial"/>
                <w:szCs w:val="20"/>
                <w:lang w:val="sl-SI"/>
              </w:rPr>
              <w:t>Prejmejo:</w:t>
            </w:r>
          </w:p>
          <w:p w14:paraId="6B3D1117" w14:textId="77777777" w:rsidR="0053264D" w:rsidRPr="006D1761" w:rsidRDefault="0053264D" w:rsidP="003B2726">
            <w:pPr>
              <w:numPr>
                <w:ilvl w:val="0"/>
                <w:numId w:val="1"/>
              </w:numPr>
              <w:rPr>
                <w:rFonts w:cs="Arial"/>
                <w:bCs/>
                <w:iCs/>
                <w:szCs w:val="20"/>
                <w:lang w:val="sl-SI"/>
              </w:rPr>
            </w:pPr>
            <w:r w:rsidRPr="006D1761">
              <w:rPr>
                <w:rFonts w:cs="Arial"/>
                <w:iCs/>
                <w:szCs w:val="20"/>
                <w:lang w:val="sl-SI"/>
              </w:rPr>
              <w:t>Vsa ministrstva in vladne službe,</w:t>
            </w:r>
          </w:p>
          <w:p w14:paraId="365E6325" w14:textId="7D9A218B" w:rsidR="0053264D" w:rsidRPr="006D1761" w:rsidRDefault="0053264D" w:rsidP="003B2726">
            <w:pPr>
              <w:numPr>
                <w:ilvl w:val="0"/>
                <w:numId w:val="1"/>
              </w:numPr>
              <w:rPr>
                <w:rFonts w:cs="Arial"/>
                <w:bCs/>
                <w:iCs/>
                <w:szCs w:val="20"/>
                <w:lang w:val="sl-SI"/>
              </w:rPr>
            </w:pPr>
            <w:r w:rsidRPr="006D1761">
              <w:rPr>
                <w:rFonts w:cs="Arial"/>
                <w:iCs/>
                <w:szCs w:val="20"/>
                <w:lang w:val="sl-SI"/>
              </w:rPr>
              <w:t>Skupnosti občin Slovenije,</w:t>
            </w:r>
          </w:p>
          <w:p w14:paraId="406E213E" w14:textId="1D05DCF1" w:rsidR="0053264D" w:rsidRPr="006D1761" w:rsidRDefault="0053264D" w:rsidP="003B2726">
            <w:pPr>
              <w:numPr>
                <w:ilvl w:val="0"/>
                <w:numId w:val="1"/>
              </w:numPr>
              <w:rPr>
                <w:rFonts w:cs="Arial"/>
                <w:bCs/>
                <w:iCs/>
                <w:szCs w:val="20"/>
                <w:lang w:val="sl-SI"/>
              </w:rPr>
            </w:pPr>
            <w:r w:rsidRPr="006D1761">
              <w:rPr>
                <w:rFonts w:cs="Arial"/>
                <w:iCs/>
                <w:szCs w:val="20"/>
                <w:lang w:val="sl-SI"/>
              </w:rPr>
              <w:t>Združenju občin Slovenije,</w:t>
            </w:r>
          </w:p>
          <w:p w14:paraId="2B559CA0" w14:textId="111AD5B6" w:rsidR="00B152F3" w:rsidRPr="006D1761" w:rsidRDefault="0053264D" w:rsidP="003B2726">
            <w:pPr>
              <w:numPr>
                <w:ilvl w:val="0"/>
                <w:numId w:val="1"/>
              </w:numPr>
              <w:rPr>
                <w:rFonts w:cs="Arial"/>
                <w:bCs/>
                <w:iCs/>
                <w:szCs w:val="20"/>
                <w:lang w:val="sl-SI"/>
              </w:rPr>
            </w:pPr>
            <w:r w:rsidRPr="006D1761">
              <w:rPr>
                <w:rFonts w:cs="Arial"/>
                <w:iCs/>
                <w:szCs w:val="20"/>
                <w:lang w:val="sl-SI"/>
              </w:rPr>
              <w:t>Združenju mestnih občin Slovenije</w:t>
            </w:r>
            <w:r w:rsidR="00B152F3" w:rsidRPr="006D1761">
              <w:rPr>
                <w:rFonts w:cs="Arial"/>
                <w:bCs/>
                <w:iCs/>
                <w:szCs w:val="20"/>
                <w:lang w:val="sl-SI"/>
              </w:rPr>
              <w:t>.</w:t>
            </w:r>
          </w:p>
          <w:p w14:paraId="386F9020" w14:textId="77777777" w:rsidR="000D7C79" w:rsidRPr="006D1761" w:rsidRDefault="000D7C79" w:rsidP="000D7C79">
            <w:pPr>
              <w:ind w:left="720"/>
              <w:rPr>
                <w:rFonts w:cs="Arial"/>
                <w:bCs/>
                <w:iCs/>
                <w:szCs w:val="20"/>
                <w:lang w:val="sl-SI"/>
              </w:rPr>
            </w:pPr>
          </w:p>
          <w:p w14:paraId="06835A4C" w14:textId="23181DB8" w:rsidR="000D7C79" w:rsidRPr="006D1761" w:rsidRDefault="000D7C79" w:rsidP="000D7C79">
            <w:pPr>
              <w:rPr>
                <w:rFonts w:cs="Arial"/>
                <w:bCs/>
                <w:iCs/>
                <w:szCs w:val="20"/>
                <w:lang w:val="sl-SI"/>
              </w:rPr>
            </w:pPr>
            <w:r w:rsidRPr="006D1761">
              <w:rPr>
                <w:rFonts w:cs="Arial"/>
                <w:bCs/>
                <w:iCs/>
                <w:szCs w:val="20"/>
                <w:lang w:val="sl-SI"/>
              </w:rPr>
              <w:t>Priloge:</w:t>
            </w:r>
          </w:p>
          <w:p w14:paraId="3CE63591" w14:textId="1FBFC8BE" w:rsidR="003E1CBD" w:rsidRPr="006D1761" w:rsidRDefault="003E1CBD" w:rsidP="003B2726">
            <w:pPr>
              <w:numPr>
                <w:ilvl w:val="0"/>
                <w:numId w:val="1"/>
              </w:numPr>
              <w:rPr>
                <w:rFonts w:cs="Arial"/>
                <w:bCs/>
                <w:iCs/>
                <w:szCs w:val="20"/>
                <w:lang w:val="sl-SI"/>
              </w:rPr>
            </w:pPr>
            <w:r w:rsidRPr="006D1761">
              <w:rPr>
                <w:rFonts w:cs="Arial"/>
                <w:bCs/>
                <w:iCs/>
                <w:szCs w:val="20"/>
                <w:lang w:val="sl-SI"/>
              </w:rPr>
              <w:t>besedilo predloga zakona,</w:t>
            </w:r>
          </w:p>
          <w:p w14:paraId="0E66751A" w14:textId="3DDA6592" w:rsidR="00B152F3" w:rsidRPr="006D1761" w:rsidRDefault="00B152F3" w:rsidP="00E1666F">
            <w:pPr>
              <w:ind w:left="720"/>
              <w:rPr>
                <w:rFonts w:cs="Arial"/>
                <w:iCs/>
                <w:szCs w:val="20"/>
                <w:lang w:val="sl-SI"/>
              </w:rPr>
            </w:pPr>
          </w:p>
        </w:tc>
      </w:tr>
      <w:tr w:rsidR="00B152F3" w:rsidRPr="00FD7F71" w14:paraId="60824606" w14:textId="77777777" w:rsidTr="00A23D5D">
        <w:tc>
          <w:tcPr>
            <w:tcW w:w="9166" w:type="dxa"/>
            <w:gridSpan w:val="12"/>
          </w:tcPr>
          <w:p w14:paraId="272F66AA" w14:textId="77777777" w:rsidR="00B152F3" w:rsidRPr="006D1761" w:rsidRDefault="00B152F3" w:rsidP="00B152F3">
            <w:pPr>
              <w:rPr>
                <w:rFonts w:cs="Arial"/>
                <w:b/>
                <w:bCs/>
                <w:szCs w:val="20"/>
                <w:lang w:val="sl-SI"/>
              </w:rPr>
            </w:pPr>
            <w:r w:rsidRPr="006D1761">
              <w:rPr>
                <w:rFonts w:cs="Arial"/>
                <w:b/>
                <w:bCs/>
                <w:szCs w:val="20"/>
                <w:lang w:val="sl-SI"/>
              </w:rPr>
              <w:t>2. Predlog za obravnavo predloga zakona po nujnem ali skrajšanem postopku v državnem zboru z obrazložitvijo razlogov:</w:t>
            </w:r>
          </w:p>
        </w:tc>
      </w:tr>
      <w:tr w:rsidR="00B152F3" w:rsidRPr="006D1761" w14:paraId="66543766" w14:textId="77777777" w:rsidTr="00A23D5D">
        <w:tc>
          <w:tcPr>
            <w:tcW w:w="9166" w:type="dxa"/>
            <w:gridSpan w:val="12"/>
          </w:tcPr>
          <w:p w14:paraId="65A33656" w14:textId="77777777" w:rsidR="00EE08C0" w:rsidRPr="006D1761" w:rsidRDefault="00EE08C0" w:rsidP="0053264D">
            <w:pPr>
              <w:overflowPunct w:val="0"/>
              <w:autoSpaceDE w:val="0"/>
              <w:autoSpaceDN w:val="0"/>
              <w:adjustRightInd w:val="0"/>
              <w:jc w:val="both"/>
              <w:textAlignment w:val="baseline"/>
              <w:rPr>
                <w:rFonts w:cs="Arial"/>
                <w:szCs w:val="20"/>
                <w:lang w:val="sl-SI" w:eastAsia="sl-SI"/>
              </w:rPr>
            </w:pPr>
          </w:p>
          <w:p w14:paraId="04DE2B6D" w14:textId="4C9E07EF" w:rsidR="0053264D" w:rsidRPr="006D1761" w:rsidRDefault="00EE08C0" w:rsidP="0053264D">
            <w:pPr>
              <w:overflowPunct w:val="0"/>
              <w:autoSpaceDE w:val="0"/>
              <w:autoSpaceDN w:val="0"/>
              <w:adjustRightInd w:val="0"/>
              <w:jc w:val="both"/>
              <w:textAlignment w:val="baseline"/>
              <w:rPr>
                <w:rFonts w:cs="Arial"/>
                <w:szCs w:val="20"/>
                <w:lang w:val="sl-SI" w:eastAsia="sl-SI"/>
              </w:rPr>
            </w:pPr>
            <w:r w:rsidRPr="006D1761">
              <w:rPr>
                <w:rFonts w:cs="Arial"/>
                <w:szCs w:val="20"/>
                <w:lang w:val="sl-SI" w:eastAsia="sl-SI"/>
              </w:rPr>
              <w:t>/</w:t>
            </w:r>
          </w:p>
          <w:p w14:paraId="145A46A0" w14:textId="77777777" w:rsidR="00B152F3" w:rsidRPr="006D1761" w:rsidRDefault="00B152F3" w:rsidP="0053264D">
            <w:pPr>
              <w:overflowPunct w:val="0"/>
              <w:autoSpaceDE w:val="0"/>
              <w:autoSpaceDN w:val="0"/>
              <w:adjustRightInd w:val="0"/>
              <w:jc w:val="both"/>
              <w:textAlignment w:val="baseline"/>
              <w:rPr>
                <w:rFonts w:cs="Arial"/>
                <w:b/>
                <w:bCs/>
                <w:szCs w:val="20"/>
                <w:lang w:val="sl-SI"/>
              </w:rPr>
            </w:pPr>
          </w:p>
        </w:tc>
      </w:tr>
      <w:tr w:rsidR="00B152F3" w:rsidRPr="00804BB9" w14:paraId="3030603A" w14:textId="77777777" w:rsidTr="00A23D5D">
        <w:tc>
          <w:tcPr>
            <w:tcW w:w="9166" w:type="dxa"/>
            <w:gridSpan w:val="12"/>
          </w:tcPr>
          <w:p w14:paraId="47DE24A3" w14:textId="77777777" w:rsidR="00B152F3" w:rsidRPr="006D1761" w:rsidRDefault="00B152F3" w:rsidP="00B152F3">
            <w:pPr>
              <w:overflowPunct w:val="0"/>
              <w:autoSpaceDE w:val="0"/>
              <w:autoSpaceDN w:val="0"/>
              <w:adjustRightInd w:val="0"/>
              <w:jc w:val="both"/>
              <w:textAlignment w:val="baseline"/>
              <w:rPr>
                <w:rFonts w:cs="Arial"/>
                <w:b/>
                <w:bCs/>
                <w:szCs w:val="20"/>
                <w:lang w:val="sl-SI" w:eastAsia="sl-SI"/>
              </w:rPr>
            </w:pPr>
            <w:r w:rsidRPr="006D1761">
              <w:rPr>
                <w:rFonts w:cs="Arial"/>
                <w:b/>
                <w:bCs/>
                <w:szCs w:val="20"/>
                <w:lang w:val="sl-SI" w:eastAsia="sl-SI"/>
              </w:rPr>
              <w:t>3.a Osebe, odgovorne za strokovno pripravo in usklajenost gradiva:</w:t>
            </w:r>
          </w:p>
        </w:tc>
      </w:tr>
      <w:tr w:rsidR="00B152F3" w:rsidRPr="00804BB9" w14:paraId="4D651758" w14:textId="77777777" w:rsidTr="00A23D5D">
        <w:tc>
          <w:tcPr>
            <w:tcW w:w="9166" w:type="dxa"/>
            <w:gridSpan w:val="12"/>
          </w:tcPr>
          <w:p w14:paraId="4AE850D5" w14:textId="77777777" w:rsidR="00B152F3" w:rsidRPr="006D1761" w:rsidRDefault="00B152F3" w:rsidP="00B152F3">
            <w:pPr>
              <w:pStyle w:val="Odstavekseznama"/>
              <w:overflowPunct w:val="0"/>
              <w:autoSpaceDE w:val="0"/>
              <w:autoSpaceDN w:val="0"/>
              <w:adjustRightInd w:val="0"/>
              <w:ind w:left="738"/>
              <w:jc w:val="both"/>
              <w:textAlignment w:val="baseline"/>
              <w:rPr>
                <w:rFonts w:cs="Arial"/>
                <w:szCs w:val="20"/>
                <w:lang w:val="sl-SI" w:eastAsia="sl-SI"/>
              </w:rPr>
            </w:pPr>
          </w:p>
          <w:p w14:paraId="4D71EB52" w14:textId="78681065" w:rsidR="00B152F3" w:rsidRPr="006D1761" w:rsidRDefault="00B152F3" w:rsidP="003B2726">
            <w:pPr>
              <w:pStyle w:val="Odstavekseznama"/>
              <w:numPr>
                <w:ilvl w:val="0"/>
                <w:numId w:val="2"/>
              </w:numPr>
              <w:overflowPunct w:val="0"/>
              <w:autoSpaceDE w:val="0"/>
              <w:autoSpaceDN w:val="0"/>
              <w:adjustRightInd w:val="0"/>
              <w:ind w:left="738" w:hanging="425"/>
              <w:jc w:val="both"/>
              <w:textAlignment w:val="baseline"/>
              <w:rPr>
                <w:rFonts w:cs="Arial"/>
                <w:szCs w:val="20"/>
                <w:lang w:val="sl-SI" w:eastAsia="sl-SI"/>
              </w:rPr>
            </w:pPr>
            <w:r w:rsidRPr="006D1761">
              <w:rPr>
                <w:rFonts w:cs="Arial"/>
                <w:szCs w:val="20"/>
                <w:lang w:val="sl-SI" w:eastAsia="sl-SI"/>
              </w:rPr>
              <w:t xml:space="preserve">dr. Uroš Svete, direktor </w:t>
            </w:r>
            <w:r w:rsidR="00F72510" w:rsidRPr="006D1761">
              <w:rPr>
                <w:rFonts w:cs="Arial"/>
                <w:szCs w:val="20"/>
                <w:lang w:val="sl-SI" w:eastAsia="sl-SI"/>
              </w:rPr>
              <w:t>Urada</w:t>
            </w:r>
            <w:r w:rsidRPr="006D1761">
              <w:rPr>
                <w:rFonts w:cs="Arial"/>
                <w:szCs w:val="20"/>
                <w:lang w:val="sl-SI" w:eastAsia="sl-SI"/>
              </w:rPr>
              <w:t xml:space="preserve"> Republike Slovenije za informacijsko varnost</w:t>
            </w:r>
            <w:r w:rsidR="00EE08C0" w:rsidRPr="006D1761">
              <w:rPr>
                <w:rFonts w:cs="Arial"/>
                <w:szCs w:val="20"/>
                <w:lang w:val="sl-SI" w:eastAsia="sl-SI"/>
              </w:rPr>
              <w:t xml:space="preserve"> (v nadaljnjem besedilu URSIV),</w:t>
            </w:r>
          </w:p>
          <w:p w14:paraId="70ABDB05" w14:textId="5DE7EA5D" w:rsidR="0062455C" w:rsidRPr="006D1761" w:rsidRDefault="0053264D" w:rsidP="003B2726">
            <w:pPr>
              <w:pStyle w:val="Odstavekseznama"/>
              <w:numPr>
                <w:ilvl w:val="0"/>
                <w:numId w:val="2"/>
              </w:numPr>
              <w:overflowPunct w:val="0"/>
              <w:autoSpaceDE w:val="0"/>
              <w:autoSpaceDN w:val="0"/>
              <w:adjustRightInd w:val="0"/>
              <w:ind w:left="738" w:hanging="425"/>
              <w:jc w:val="both"/>
              <w:textAlignment w:val="baseline"/>
              <w:rPr>
                <w:rFonts w:cs="Arial"/>
                <w:szCs w:val="20"/>
                <w:lang w:val="sl-SI" w:eastAsia="sl-SI"/>
              </w:rPr>
            </w:pPr>
            <w:r w:rsidRPr="006D1761">
              <w:rPr>
                <w:rFonts w:cs="Arial"/>
                <w:szCs w:val="20"/>
                <w:lang w:val="sl-SI" w:eastAsia="sl-SI"/>
              </w:rPr>
              <w:t>Kory Golob, pomočnik direktorja URSIV</w:t>
            </w:r>
            <w:r w:rsidR="00EE08C0" w:rsidRPr="006D1761">
              <w:rPr>
                <w:rFonts w:cs="Arial"/>
                <w:szCs w:val="20"/>
                <w:lang w:val="sl-SI" w:eastAsia="sl-SI"/>
              </w:rPr>
              <w:t>,</w:t>
            </w:r>
          </w:p>
          <w:p w14:paraId="7B1216CE" w14:textId="5D7F253A" w:rsidR="00EE08C0" w:rsidRPr="006D1761" w:rsidRDefault="00EE08C0" w:rsidP="003B2726">
            <w:pPr>
              <w:pStyle w:val="Odstavekseznama"/>
              <w:numPr>
                <w:ilvl w:val="0"/>
                <w:numId w:val="2"/>
              </w:numPr>
              <w:overflowPunct w:val="0"/>
              <w:autoSpaceDE w:val="0"/>
              <w:autoSpaceDN w:val="0"/>
              <w:adjustRightInd w:val="0"/>
              <w:ind w:left="738" w:hanging="425"/>
              <w:jc w:val="both"/>
              <w:textAlignment w:val="baseline"/>
              <w:rPr>
                <w:rFonts w:cs="Arial"/>
                <w:szCs w:val="20"/>
                <w:lang w:val="sl-SI" w:eastAsia="sl-SI"/>
              </w:rPr>
            </w:pPr>
            <w:r w:rsidRPr="006D1761">
              <w:rPr>
                <w:rFonts w:cs="Arial"/>
                <w:szCs w:val="20"/>
                <w:lang w:val="sl-SI" w:eastAsia="sl-SI"/>
              </w:rPr>
              <w:t>Mag. Melita Šinkovec, vodja Sektorja za informacijsko in kibernetsko varnost, URSIV,</w:t>
            </w:r>
          </w:p>
          <w:p w14:paraId="7F156CEF" w14:textId="4AE95797" w:rsidR="00EE08C0" w:rsidRPr="006D1761" w:rsidRDefault="00EE08C0" w:rsidP="003B2726">
            <w:pPr>
              <w:pStyle w:val="Odstavekseznama"/>
              <w:numPr>
                <w:ilvl w:val="0"/>
                <w:numId w:val="2"/>
              </w:numPr>
              <w:overflowPunct w:val="0"/>
              <w:autoSpaceDE w:val="0"/>
              <w:autoSpaceDN w:val="0"/>
              <w:adjustRightInd w:val="0"/>
              <w:ind w:left="738" w:hanging="425"/>
              <w:jc w:val="both"/>
              <w:textAlignment w:val="baseline"/>
              <w:rPr>
                <w:rFonts w:cs="Arial"/>
                <w:szCs w:val="20"/>
                <w:lang w:val="sl-SI" w:eastAsia="sl-SI"/>
              </w:rPr>
            </w:pPr>
            <w:r w:rsidRPr="006D1761">
              <w:rPr>
                <w:rFonts w:cs="Arial"/>
                <w:szCs w:val="20"/>
                <w:lang w:val="sl-SI" w:eastAsia="sl-SI"/>
              </w:rPr>
              <w:t>Barbara Pernuš Grošelj, sekretarka, Sektor za informacijsko in kibernetsko varnost, URSIV.</w:t>
            </w:r>
          </w:p>
          <w:p w14:paraId="72129182" w14:textId="77777777" w:rsidR="00B152F3" w:rsidRPr="006D1761" w:rsidRDefault="00B152F3" w:rsidP="00F72510">
            <w:pPr>
              <w:overflowPunct w:val="0"/>
              <w:autoSpaceDE w:val="0"/>
              <w:autoSpaceDN w:val="0"/>
              <w:adjustRightInd w:val="0"/>
              <w:ind w:left="313"/>
              <w:jc w:val="both"/>
              <w:textAlignment w:val="baseline"/>
              <w:rPr>
                <w:rFonts w:cs="Arial"/>
                <w:b/>
                <w:bCs/>
                <w:szCs w:val="20"/>
                <w:lang w:val="sl-SI" w:eastAsia="sl-SI"/>
              </w:rPr>
            </w:pPr>
          </w:p>
        </w:tc>
      </w:tr>
      <w:tr w:rsidR="00B152F3" w:rsidRPr="00804BB9" w14:paraId="6279120A" w14:textId="77777777" w:rsidTr="00A23D5D">
        <w:tc>
          <w:tcPr>
            <w:tcW w:w="9166" w:type="dxa"/>
            <w:gridSpan w:val="12"/>
          </w:tcPr>
          <w:p w14:paraId="3A3D7332" w14:textId="77777777" w:rsidR="00B152F3" w:rsidRPr="006D1761" w:rsidRDefault="00B152F3" w:rsidP="00B152F3">
            <w:pPr>
              <w:overflowPunct w:val="0"/>
              <w:autoSpaceDE w:val="0"/>
              <w:autoSpaceDN w:val="0"/>
              <w:adjustRightInd w:val="0"/>
              <w:jc w:val="both"/>
              <w:textAlignment w:val="baseline"/>
              <w:rPr>
                <w:rFonts w:cs="Arial"/>
                <w:szCs w:val="20"/>
                <w:lang w:val="sl-SI" w:eastAsia="sl-SI"/>
              </w:rPr>
            </w:pPr>
            <w:r w:rsidRPr="006D1761">
              <w:rPr>
                <w:rFonts w:cs="Arial"/>
                <w:b/>
                <w:bCs/>
                <w:szCs w:val="20"/>
                <w:lang w:val="sl-SI" w:eastAsia="sl-SI"/>
              </w:rPr>
              <w:t>3.b Zunanji strokovnjaki, ki so sodelovali pri pripravi dela ali celotnega gradiva:</w:t>
            </w:r>
          </w:p>
        </w:tc>
      </w:tr>
      <w:tr w:rsidR="00B152F3" w:rsidRPr="00804BB9" w14:paraId="3E9E7AAE" w14:textId="77777777" w:rsidTr="00A23D5D">
        <w:tc>
          <w:tcPr>
            <w:tcW w:w="9166" w:type="dxa"/>
            <w:gridSpan w:val="12"/>
          </w:tcPr>
          <w:p w14:paraId="59B5F168" w14:textId="77777777" w:rsidR="00B152F3" w:rsidRPr="006D1761" w:rsidRDefault="00B152F3" w:rsidP="00B152F3">
            <w:pPr>
              <w:overflowPunct w:val="0"/>
              <w:autoSpaceDE w:val="0"/>
              <w:autoSpaceDN w:val="0"/>
              <w:adjustRightInd w:val="0"/>
              <w:jc w:val="both"/>
              <w:textAlignment w:val="baseline"/>
              <w:rPr>
                <w:rFonts w:cs="Arial"/>
                <w:szCs w:val="20"/>
                <w:lang w:val="sl-SI" w:eastAsia="sl-SI"/>
              </w:rPr>
            </w:pPr>
          </w:p>
          <w:p w14:paraId="33FB1293" w14:textId="77777777" w:rsidR="00B152F3" w:rsidRPr="006D1761" w:rsidRDefault="00B152F3" w:rsidP="00B152F3">
            <w:pPr>
              <w:overflowPunct w:val="0"/>
              <w:autoSpaceDE w:val="0"/>
              <w:autoSpaceDN w:val="0"/>
              <w:adjustRightInd w:val="0"/>
              <w:jc w:val="both"/>
              <w:textAlignment w:val="baseline"/>
              <w:rPr>
                <w:rFonts w:cs="Arial"/>
                <w:szCs w:val="20"/>
                <w:lang w:val="sl-SI" w:eastAsia="sl-SI"/>
              </w:rPr>
            </w:pPr>
            <w:r w:rsidRPr="006D1761">
              <w:rPr>
                <w:rFonts w:cs="Arial"/>
                <w:szCs w:val="20"/>
                <w:lang w:val="sl-SI" w:eastAsia="sl-SI"/>
              </w:rPr>
              <w:t>Pri pripravi dela ali celotnega gradiva niso sodelovali zunanji strokovnjaki.</w:t>
            </w:r>
          </w:p>
          <w:p w14:paraId="42046B8B" w14:textId="77777777" w:rsidR="00B152F3" w:rsidRPr="006D1761" w:rsidRDefault="00B152F3" w:rsidP="00B152F3">
            <w:pPr>
              <w:overflowPunct w:val="0"/>
              <w:autoSpaceDE w:val="0"/>
              <w:autoSpaceDN w:val="0"/>
              <w:adjustRightInd w:val="0"/>
              <w:jc w:val="both"/>
              <w:textAlignment w:val="baseline"/>
              <w:rPr>
                <w:rFonts w:cs="Arial"/>
                <w:szCs w:val="20"/>
                <w:lang w:val="sl-SI" w:eastAsia="sl-SI"/>
              </w:rPr>
            </w:pPr>
          </w:p>
        </w:tc>
      </w:tr>
      <w:tr w:rsidR="00B152F3" w:rsidRPr="00804BB9" w14:paraId="6D57049F" w14:textId="77777777" w:rsidTr="00A23D5D">
        <w:tc>
          <w:tcPr>
            <w:tcW w:w="9166" w:type="dxa"/>
            <w:gridSpan w:val="12"/>
          </w:tcPr>
          <w:p w14:paraId="60D52E1D" w14:textId="77777777" w:rsidR="00B152F3" w:rsidRPr="006D1761" w:rsidRDefault="00B152F3" w:rsidP="00152628">
            <w:pPr>
              <w:overflowPunct w:val="0"/>
              <w:autoSpaceDE w:val="0"/>
              <w:autoSpaceDN w:val="0"/>
              <w:adjustRightInd w:val="0"/>
              <w:jc w:val="both"/>
              <w:textAlignment w:val="baseline"/>
              <w:rPr>
                <w:rFonts w:cs="Arial"/>
                <w:b/>
                <w:bCs/>
                <w:szCs w:val="20"/>
                <w:lang w:val="sl-SI" w:eastAsia="sl-SI"/>
              </w:rPr>
            </w:pPr>
            <w:r w:rsidRPr="006D1761">
              <w:rPr>
                <w:rFonts w:cs="Arial"/>
                <w:b/>
                <w:bCs/>
                <w:szCs w:val="20"/>
                <w:lang w:val="sl-SI" w:eastAsia="sl-SI"/>
              </w:rPr>
              <w:lastRenderedPageBreak/>
              <w:t>4. Predstavniki vlade, ki bodo sodelovali pri delu državnega zbora:</w:t>
            </w:r>
          </w:p>
        </w:tc>
      </w:tr>
      <w:tr w:rsidR="00B152F3" w:rsidRPr="00804BB9" w14:paraId="54BA5F00" w14:textId="77777777" w:rsidTr="00A23D5D">
        <w:tc>
          <w:tcPr>
            <w:tcW w:w="9166" w:type="dxa"/>
            <w:gridSpan w:val="12"/>
          </w:tcPr>
          <w:p w14:paraId="0B9A26C0" w14:textId="77777777" w:rsidR="00EE08C0" w:rsidRPr="006D1761" w:rsidRDefault="00EE08C0" w:rsidP="00EE08C0">
            <w:pPr>
              <w:pStyle w:val="Odstavekseznama"/>
              <w:overflowPunct w:val="0"/>
              <w:autoSpaceDE w:val="0"/>
              <w:autoSpaceDN w:val="0"/>
              <w:adjustRightInd w:val="0"/>
              <w:ind w:left="738"/>
              <w:jc w:val="both"/>
              <w:textAlignment w:val="baseline"/>
              <w:rPr>
                <w:rFonts w:cs="Arial"/>
                <w:szCs w:val="20"/>
                <w:lang w:val="sl-SI" w:eastAsia="sl-SI"/>
              </w:rPr>
            </w:pPr>
          </w:p>
          <w:p w14:paraId="50946CAE" w14:textId="77777777" w:rsidR="00B2337A" w:rsidRPr="006D1761" w:rsidRDefault="00B2337A" w:rsidP="00B2337A">
            <w:pPr>
              <w:pStyle w:val="Odstavekseznama"/>
              <w:numPr>
                <w:ilvl w:val="0"/>
                <w:numId w:val="2"/>
              </w:numPr>
              <w:overflowPunct w:val="0"/>
              <w:autoSpaceDE w:val="0"/>
              <w:autoSpaceDN w:val="0"/>
              <w:adjustRightInd w:val="0"/>
              <w:ind w:left="738" w:hanging="425"/>
              <w:jc w:val="both"/>
              <w:textAlignment w:val="baseline"/>
              <w:rPr>
                <w:rFonts w:cs="Arial"/>
                <w:szCs w:val="20"/>
                <w:lang w:val="sl-SI" w:eastAsia="sl-SI"/>
              </w:rPr>
            </w:pPr>
            <w:r w:rsidRPr="006D1761">
              <w:rPr>
                <w:rFonts w:cs="Arial"/>
                <w:szCs w:val="20"/>
                <w:lang w:val="sl-SI" w:eastAsia="sl-SI"/>
              </w:rPr>
              <w:t>dr. Uroš Svete, direktor Urada Republike Slovenije za informacijsko varnost (v nadaljnjem besedilu URSIV),</w:t>
            </w:r>
          </w:p>
          <w:p w14:paraId="691A2C7F" w14:textId="77777777" w:rsidR="00B2337A" w:rsidRPr="006D1761" w:rsidRDefault="00B2337A" w:rsidP="00B2337A">
            <w:pPr>
              <w:pStyle w:val="Odstavekseznama"/>
              <w:numPr>
                <w:ilvl w:val="0"/>
                <w:numId w:val="2"/>
              </w:numPr>
              <w:overflowPunct w:val="0"/>
              <w:autoSpaceDE w:val="0"/>
              <w:autoSpaceDN w:val="0"/>
              <w:adjustRightInd w:val="0"/>
              <w:ind w:left="738" w:hanging="425"/>
              <w:jc w:val="both"/>
              <w:textAlignment w:val="baseline"/>
              <w:rPr>
                <w:rFonts w:cs="Arial"/>
                <w:szCs w:val="20"/>
                <w:lang w:val="sl-SI" w:eastAsia="sl-SI"/>
              </w:rPr>
            </w:pPr>
            <w:r w:rsidRPr="006D1761">
              <w:rPr>
                <w:rFonts w:cs="Arial"/>
                <w:szCs w:val="20"/>
                <w:lang w:val="sl-SI" w:eastAsia="sl-SI"/>
              </w:rPr>
              <w:t>Kory Golob, pomočnik direktorja URSIV,</w:t>
            </w:r>
          </w:p>
          <w:p w14:paraId="2C29E372" w14:textId="77777777" w:rsidR="00B2337A" w:rsidRPr="006D1761" w:rsidRDefault="00B2337A" w:rsidP="00B2337A">
            <w:pPr>
              <w:pStyle w:val="Odstavekseznama"/>
              <w:numPr>
                <w:ilvl w:val="0"/>
                <w:numId w:val="2"/>
              </w:numPr>
              <w:overflowPunct w:val="0"/>
              <w:autoSpaceDE w:val="0"/>
              <w:autoSpaceDN w:val="0"/>
              <w:adjustRightInd w:val="0"/>
              <w:ind w:left="738" w:hanging="425"/>
              <w:jc w:val="both"/>
              <w:textAlignment w:val="baseline"/>
              <w:rPr>
                <w:rFonts w:cs="Arial"/>
                <w:szCs w:val="20"/>
                <w:lang w:val="sl-SI" w:eastAsia="sl-SI"/>
              </w:rPr>
            </w:pPr>
            <w:r w:rsidRPr="006D1761">
              <w:rPr>
                <w:rFonts w:cs="Arial"/>
                <w:szCs w:val="20"/>
                <w:lang w:val="sl-SI" w:eastAsia="sl-SI"/>
              </w:rPr>
              <w:t>Mag. Melita Šinkovec, vodja Sektorja za informacijsko in kibernetsko varnost, URSIV,</w:t>
            </w:r>
          </w:p>
          <w:p w14:paraId="5E07680D" w14:textId="77777777" w:rsidR="00B2337A" w:rsidRPr="006D1761" w:rsidRDefault="00B2337A" w:rsidP="00B2337A">
            <w:pPr>
              <w:pStyle w:val="Odstavekseznama"/>
              <w:numPr>
                <w:ilvl w:val="0"/>
                <w:numId w:val="2"/>
              </w:numPr>
              <w:overflowPunct w:val="0"/>
              <w:autoSpaceDE w:val="0"/>
              <w:autoSpaceDN w:val="0"/>
              <w:adjustRightInd w:val="0"/>
              <w:ind w:left="738" w:hanging="425"/>
              <w:jc w:val="both"/>
              <w:textAlignment w:val="baseline"/>
              <w:rPr>
                <w:rFonts w:cs="Arial"/>
                <w:szCs w:val="20"/>
                <w:lang w:val="sl-SI" w:eastAsia="sl-SI"/>
              </w:rPr>
            </w:pPr>
            <w:r w:rsidRPr="006D1761">
              <w:rPr>
                <w:rFonts w:cs="Arial"/>
                <w:szCs w:val="20"/>
                <w:lang w:val="sl-SI" w:eastAsia="sl-SI"/>
              </w:rPr>
              <w:t>Barbara Pernuš Grošelj, sekretarka, Sektor za informacijsko in kibernetsko varnost, URSIV.</w:t>
            </w:r>
          </w:p>
          <w:p w14:paraId="5CA22D8D" w14:textId="2F28AA47" w:rsidR="001171F8" w:rsidRPr="001171F8" w:rsidRDefault="001171F8" w:rsidP="001171F8">
            <w:pPr>
              <w:pStyle w:val="Odstavekseznama"/>
              <w:overflowPunct w:val="0"/>
              <w:autoSpaceDE w:val="0"/>
              <w:autoSpaceDN w:val="0"/>
              <w:adjustRightInd w:val="0"/>
              <w:ind w:left="1033"/>
              <w:jc w:val="both"/>
              <w:textAlignment w:val="baseline"/>
              <w:rPr>
                <w:rFonts w:cs="Arial"/>
                <w:b/>
                <w:bCs/>
                <w:szCs w:val="20"/>
                <w:lang w:val="sl-SI" w:eastAsia="sl-SI"/>
              </w:rPr>
            </w:pPr>
          </w:p>
        </w:tc>
      </w:tr>
      <w:tr w:rsidR="00B152F3" w:rsidRPr="006D1761" w14:paraId="7A331D83" w14:textId="77777777" w:rsidTr="00A23D5D">
        <w:tc>
          <w:tcPr>
            <w:tcW w:w="9166" w:type="dxa"/>
            <w:gridSpan w:val="12"/>
          </w:tcPr>
          <w:p w14:paraId="0CDB689B" w14:textId="77777777" w:rsidR="00B152F3" w:rsidRPr="006D1761" w:rsidRDefault="00B152F3" w:rsidP="00B152F3">
            <w:pPr>
              <w:overflowPunct w:val="0"/>
              <w:autoSpaceDE w:val="0"/>
              <w:autoSpaceDN w:val="0"/>
              <w:adjustRightInd w:val="0"/>
              <w:jc w:val="both"/>
              <w:textAlignment w:val="baseline"/>
              <w:rPr>
                <w:rFonts w:cs="Arial"/>
                <w:b/>
                <w:bCs/>
                <w:szCs w:val="20"/>
                <w:lang w:val="sl-SI" w:eastAsia="sl-SI"/>
              </w:rPr>
            </w:pPr>
            <w:r w:rsidRPr="006D1761">
              <w:rPr>
                <w:rFonts w:cs="Arial"/>
                <w:b/>
                <w:bCs/>
                <w:szCs w:val="20"/>
                <w:lang w:val="sl-SI" w:eastAsia="sl-SI"/>
              </w:rPr>
              <w:t>5. Kratek povzetek gradiva:</w:t>
            </w:r>
          </w:p>
          <w:p w14:paraId="5848C179" w14:textId="77777777" w:rsidR="00B152F3" w:rsidRPr="006D1761" w:rsidRDefault="00B152F3" w:rsidP="00B152F3">
            <w:pPr>
              <w:overflowPunct w:val="0"/>
              <w:autoSpaceDE w:val="0"/>
              <w:autoSpaceDN w:val="0"/>
              <w:adjustRightInd w:val="0"/>
              <w:jc w:val="both"/>
              <w:textAlignment w:val="baseline"/>
              <w:rPr>
                <w:rFonts w:cs="Arial"/>
                <w:b/>
                <w:bCs/>
                <w:szCs w:val="20"/>
                <w:lang w:val="sl-SI" w:eastAsia="sl-SI"/>
              </w:rPr>
            </w:pPr>
          </w:p>
        </w:tc>
      </w:tr>
      <w:tr w:rsidR="00B152F3" w:rsidRPr="00804BB9" w14:paraId="22610B62" w14:textId="77777777" w:rsidTr="00A23D5D">
        <w:tc>
          <w:tcPr>
            <w:tcW w:w="9166" w:type="dxa"/>
            <w:gridSpan w:val="12"/>
          </w:tcPr>
          <w:p w14:paraId="3AA88B1E" w14:textId="1184DC33" w:rsidR="00EE08C0" w:rsidRPr="006D1761" w:rsidRDefault="00EE08C0" w:rsidP="00EE08C0">
            <w:pPr>
              <w:overflowPunct w:val="0"/>
              <w:autoSpaceDE w:val="0"/>
              <w:autoSpaceDN w:val="0"/>
              <w:adjustRightInd w:val="0"/>
              <w:jc w:val="both"/>
              <w:textAlignment w:val="baseline"/>
              <w:rPr>
                <w:rFonts w:cs="Arial"/>
                <w:szCs w:val="20"/>
                <w:lang w:val="sl-SI" w:eastAsia="sl-SI"/>
              </w:rPr>
            </w:pPr>
            <w:r w:rsidRPr="006D1761">
              <w:rPr>
                <w:rFonts w:cs="Arial"/>
                <w:szCs w:val="20"/>
                <w:lang w:val="sl-SI" w:eastAsia="sl-SI"/>
              </w:rPr>
              <w:t xml:space="preserve">Predloga novega Zakona o informacijski varnosti (ZInfV-1) bo nadomestil Zakon o informacijski varnosti (ZInfV) (Uradni list RS, št. 30/18, 95/21, 130/22 – ZEKom-2, 18/23 – ZDU-1O in 49/23). Poglavitni namen priprave novega zakona je prenos sekundarne zakonodaje Evropske unije v pravni red Republike Slovenije. S predlaganim novim ZInfV-1 v svoj pravni red prenašamo Direktivo (EU) 2022/2555 Evropskega parlamenta in Sveta z dne 14. decembra 2022 o ukrepih za visoko skupno raven kibernetske varnosti v Uniji, spremembi Uredbe (EU) št. 910/2014 in Direktive (EU) 2018/1972 ter razveljavitvi Direktive (EU) 2016/1148 (Direktiva NIS 2) (UL L št. 333/142, z dne 27. 12. 2022, str.80.), nazadnje popravljena s Popravkom Direktive (EU) 2022/2555 Evropskega parlamenta in Sveta z dne 14. decembra 2022 o ukrepih za visoko skupno raven kibernetske varnosti v Uniji, spremembi Uredbe (EU) št. 910/2014 in Direktive (EU) 2018/1972 ter razveljavitvi Direktive (EU) 2016/1148 (Direktiva NIS 2) (UL L št. 239 z dne 28. 9. 2023, str. 48) (v nadaljnjem besedilu: Direktiva (EU) 2022/2555). Namen predlaganega zakona je sistemska ureditev področja informacijske oziroma kibernetske varnosti in zagotovitev visoke ravni kibernetske varnosti vključno s krepitvijo zaupanja v proizvode IKT, storitve IKT in postopke IKT ter njihove varnosti v Republiki Sloveniji na področjih, ki so bistvenega pomena za nemoteno delovanje države ter ohranitev zagotavljanja ključnih družbenih in gospodarskih dejavnosti v vseh varnostnih razmerah. Predlagani zakon tako vsebuje določbe, ki prenašajo Direktivo (EU) 2022/2555 kot tudi nacionalne določbe za doseganje namena zakona v Republiki Sloveniji. </w:t>
            </w:r>
            <w:r w:rsidRPr="006D1761">
              <w:rPr>
                <w:rFonts w:cs="Arial"/>
                <w:lang w:val="sl-SI"/>
              </w:rPr>
              <w:t xml:space="preserve">Z </w:t>
            </w:r>
            <w:r w:rsidRPr="006D1761">
              <w:rPr>
                <w:rFonts w:cs="Arial"/>
                <w:szCs w:val="20"/>
                <w:lang w:val="sl-SI" w:eastAsia="sl-SI"/>
              </w:rPr>
              <w:t>zakonom se ureja tudi izvajanje Uredbe (EU) 2019/881 Evropskega parlamenta in Sveta z dne 17. aprila 2019 o Agenciji Evropske unije za kibernetsko varnost (ENISA) in o certificiranju informacijske in komunikacijske tehnologije na področju kibernetske varnosti ter razveljavitvi Uredbe (EU) št. 526/2013 (Akt o kibernetski varnosti) (UL L št. 151 z dne 7. 6. 2019, str. 15; v nadaljnjem besedilu: Uredba (EU) 2019/881).</w:t>
            </w:r>
          </w:p>
          <w:p w14:paraId="6EEDCA3F" w14:textId="77777777" w:rsidR="00EE08C0" w:rsidRPr="006D1761" w:rsidRDefault="00EE08C0" w:rsidP="00EE08C0">
            <w:pPr>
              <w:overflowPunct w:val="0"/>
              <w:autoSpaceDE w:val="0"/>
              <w:autoSpaceDN w:val="0"/>
              <w:adjustRightInd w:val="0"/>
              <w:jc w:val="both"/>
              <w:textAlignment w:val="baseline"/>
              <w:rPr>
                <w:rFonts w:cs="Arial"/>
                <w:szCs w:val="20"/>
                <w:lang w:val="sl-SI" w:eastAsia="sl-SI"/>
              </w:rPr>
            </w:pPr>
          </w:p>
          <w:p w14:paraId="3374D69D" w14:textId="3DAC8165" w:rsidR="00EE08C0" w:rsidRPr="006D1761" w:rsidRDefault="00EE08C0" w:rsidP="00EE08C0">
            <w:pPr>
              <w:overflowPunct w:val="0"/>
              <w:autoSpaceDE w:val="0"/>
              <w:autoSpaceDN w:val="0"/>
              <w:adjustRightInd w:val="0"/>
              <w:jc w:val="both"/>
              <w:textAlignment w:val="baseline"/>
              <w:rPr>
                <w:rFonts w:cs="Arial"/>
                <w:szCs w:val="20"/>
                <w:lang w:val="sl-SI" w:eastAsia="sl-SI"/>
              </w:rPr>
            </w:pPr>
            <w:r w:rsidRPr="006D1761">
              <w:rPr>
                <w:rFonts w:cs="Arial"/>
                <w:szCs w:val="20"/>
                <w:lang w:val="sl-SI" w:eastAsia="sl-SI"/>
              </w:rPr>
              <w:t>Od začetka veljavnosti ZInfV je bil dosežen velik napredek pri zviševanju ravni kibernetske odpornosti v Republiki Slovenije. Vzpostavljen je bil institucionalni okvir in regulatorni okvir za kibernetsko varnost v državi. Z implementacijo Direktive (EU) 2016/1148 smo vzpostavili nacionalni okvir za varnost omrežij in informacijskih sistemov. Nacionalne zmogljivosti smo povezali z bistveno infrastrukturo in subjekti, ki jih je določila Vlada Republike Slovenije. V Slovenije smo poleg izvajalcev bistvenih storitev in ponudnikov digitalnih storitev identificirali tudi organe državne uprave, ki upravljajo z informacijskimi sistemi in deli omrežja oziroma izvajajo informacijske storitve, nujne za nemoteno delovanje države ali za zagotavljanje nacionalne varnosti ter povezane subjekte, ki se povezujejo s centralnim državnim informacijsko-komunikacijskim omrežjem oziroma sistemom. Zaradi pomena kritične infrastrukture smo določili, da so izvajalci bistvenih storitev tudi tisti upravljavci kritične infrastrukture, ki so določeni v skladu s predpisi, ki urejajo področje kritične infrastrukture, in nosilce obrambnega načrtovanja, ki so določeni v skladu s predpisi, ki urejajo področje obrambe, katerih zagotavljanje storitev je odvisno od omrežij in informacijskih sistemov.</w:t>
            </w:r>
          </w:p>
          <w:p w14:paraId="245A051A" w14:textId="77777777" w:rsidR="00EE08C0" w:rsidRPr="006D1761" w:rsidRDefault="00EE08C0" w:rsidP="00EE08C0">
            <w:pPr>
              <w:overflowPunct w:val="0"/>
              <w:autoSpaceDE w:val="0"/>
              <w:autoSpaceDN w:val="0"/>
              <w:adjustRightInd w:val="0"/>
              <w:jc w:val="both"/>
              <w:textAlignment w:val="baseline"/>
              <w:rPr>
                <w:rFonts w:cs="Arial"/>
                <w:szCs w:val="20"/>
                <w:lang w:val="sl-SI" w:eastAsia="sl-SI"/>
              </w:rPr>
            </w:pPr>
          </w:p>
          <w:p w14:paraId="2C827589" w14:textId="77777777" w:rsidR="00EE08C0" w:rsidRPr="006D1761" w:rsidRDefault="00EE08C0" w:rsidP="00EE08C0">
            <w:pPr>
              <w:overflowPunct w:val="0"/>
              <w:autoSpaceDE w:val="0"/>
              <w:autoSpaceDN w:val="0"/>
              <w:adjustRightInd w:val="0"/>
              <w:jc w:val="both"/>
              <w:textAlignment w:val="baseline"/>
              <w:rPr>
                <w:rFonts w:cs="Arial"/>
                <w:szCs w:val="20"/>
                <w:lang w:val="sl-SI" w:eastAsia="sl-SI"/>
              </w:rPr>
            </w:pPr>
            <w:r w:rsidRPr="006D1761">
              <w:rPr>
                <w:rFonts w:cs="Arial"/>
                <w:szCs w:val="20"/>
                <w:lang w:val="sl-SI" w:eastAsia="sl-SI"/>
              </w:rPr>
              <w:t>Kljub tem dosežkom pa so bile pri pregledu Direktive (EU) 2016/1148 razkrite pomanjkljivosti, zaradi katerih z navedeno direktivo ni mogoče učinkovito obravnavati sedanjih in nastajajočih izzivov na področju kibernetske varnosti.</w:t>
            </w:r>
          </w:p>
          <w:p w14:paraId="23E3E05D" w14:textId="77777777" w:rsidR="00EE08C0" w:rsidRPr="006D1761" w:rsidRDefault="00EE08C0" w:rsidP="00EE08C0">
            <w:pPr>
              <w:overflowPunct w:val="0"/>
              <w:autoSpaceDE w:val="0"/>
              <w:autoSpaceDN w:val="0"/>
              <w:adjustRightInd w:val="0"/>
              <w:jc w:val="both"/>
              <w:textAlignment w:val="baseline"/>
              <w:rPr>
                <w:rFonts w:cs="Arial"/>
                <w:szCs w:val="20"/>
                <w:lang w:val="sl-SI" w:eastAsia="sl-SI"/>
              </w:rPr>
            </w:pPr>
          </w:p>
          <w:p w14:paraId="78231038" w14:textId="77777777" w:rsidR="00EE08C0" w:rsidRPr="006D1761" w:rsidRDefault="00EE08C0" w:rsidP="00EE08C0">
            <w:pPr>
              <w:overflowPunct w:val="0"/>
              <w:autoSpaceDE w:val="0"/>
              <w:autoSpaceDN w:val="0"/>
              <w:adjustRightInd w:val="0"/>
              <w:jc w:val="both"/>
              <w:textAlignment w:val="baseline"/>
              <w:rPr>
                <w:rFonts w:cs="Arial"/>
                <w:szCs w:val="20"/>
                <w:lang w:val="sl-SI" w:eastAsia="sl-SI"/>
              </w:rPr>
            </w:pPr>
            <w:r w:rsidRPr="006D1761">
              <w:rPr>
                <w:rFonts w:cs="Arial"/>
                <w:szCs w:val="20"/>
                <w:lang w:val="sl-SI" w:eastAsia="sl-SI"/>
              </w:rPr>
              <w:lastRenderedPageBreak/>
              <w:t>Poglavitni poudarki, ki jih prinaša Direktiva (EU) 2022/2555 so, da direktiva določa obveznosti za ponudnike digitalnih storitev, vključno s ponudniki stičišča omrežij, ponudniki storitev DNS, razen upravljavcev korenskih imenskih strežnikov, registri TLD imen, ponudniki storitev računalništva v oblaku, ponudniki storitev podatkovnih centrov, ponudniki omrežij za dostavo vsebin, ponudniki storitev zaupanja, ponudniki javnih elektronskih komunikacijskih omrežij in ponudniki javno dostopnih elektronskih komunikacijskih storitev. Direktiva razširja obseg sektorjev, ki so vključeni v okvir varnosti omrežij in informacijskih sistemov, na kritično infrastrukturo, ki je ključnega pomena za delovanje družbe in gospodarstva. Določa obveznost oblikovanja nacionalne strategije za varnost omrežij in informacijskih sistemov ter vzpostaviti sodelovanje med organi pregona, regulatorji, informacijskimi varnostnimi agencijami in drugimi ustreznimi organi. Uvaja strožje zahteve za poročanje o varnostnih incidentih s strani ponudnikov digitalne infrastrukture in drugih zavezancev ter določa kriterije za ocenjevanje resnosti incidentov. Spodbuja izmenjavo informacij in sodelovanje med državami članicami EU, zlasti v zvezi z varnostnimi incidenti, ki lahko vplivajo na več držav.</w:t>
            </w:r>
          </w:p>
          <w:p w14:paraId="74323CA3" w14:textId="77777777" w:rsidR="00EE08C0" w:rsidRPr="006D1761" w:rsidRDefault="00EE08C0" w:rsidP="00EE08C0">
            <w:pPr>
              <w:overflowPunct w:val="0"/>
              <w:autoSpaceDE w:val="0"/>
              <w:autoSpaceDN w:val="0"/>
              <w:adjustRightInd w:val="0"/>
              <w:jc w:val="both"/>
              <w:textAlignment w:val="baseline"/>
              <w:rPr>
                <w:rFonts w:cs="Arial"/>
                <w:szCs w:val="20"/>
                <w:lang w:val="sl-SI" w:eastAsia="sl-SI"/>
              </w:rPr>
            </w:pPr>
          </w:p>
          <w:p w14:paraId="1836B6F0" w14:textId="4EE1970E" w:rsidR="00EE08C0" w:rsidRPr="006D1761" w:rsidRDefault="00EE08C0" w:rsidP="00EE08C0">
            <w:pPr>
              <w:overflowPunct w:val="0"/>
              <w:autoSpaceDE w:val="0"/>
              <w:autoSpaceDN w:val="0"/>
              <w:adjustRightInd w:val="0"/>
              <w:jc w:val="both"/>
              <w:textAlignment w:val="baseline"/>
              <w:rPr>
                <w:rFonts w:cs="Arial"/>
                <w:szCs w:val="20"/>
                <w:lang w:val="sl-SI" w:eastAsia="sl-SI"/>
              </w:rPr>
            </w:pPr>
            <w:r w:rsidRPr="006D1761">
              <w:rPr>
                <w:rFonts w:cs="Arial"/>
                <w:szCs w:val="20"/>
                <w:lang w:val="sl-SI" w:eastAsia="sl-SI"/>
              </w:rPr>
              <w:t>Poleg prenosa določb Direktiva (EU) 2022/2555 z osnutkom predloga ZInfV-1 izboljšujemo zakonsko ureditev v delu, ko gre za nacionalne določbe.</w:t>
            </w:r>
            <w:r w:rsidR="00491584" w:rsidRPr="006D1761">
              <w:rPr>
                <w:rFonts w:cs="Arial"/>
                <w:szCs w:val="20"/>
                <w:lang w:val="sl-SI" w:eastAsia="sl-SI"/>
              </w:rPr>
              <w:t xml:space="preserve"> </w:t>
            </w:r>
            <w:r w:rsidRPr="006D1761">
              <w:rPr>
                <w:rFonts w:cs="Arial"/>
                <w:szCs w:val="20"/>
                <w:lang w:val="sl-SI" w:eastAsia="sl-SI"/>
              </w:rPr>
              <w:t>Predlog zakona v največji meri ohranja strukturo Direktiva (EU) 2022/2555 in jo nadgrajuje s poglavjema VII. Vrednotenje incidenta, ocena ogroženosti in ukrepanje in VIII. Kibernetska obramba. Z ohranitvijo, razširitvijo in nadgraditvijo vsebin iz obstoječega zakona v novem ZInfV-1 sledimo ugotovitvam iz vaj kriznega odzivanja in koordinacije med deležniki kibernetske varnosti. Ti postopki odzivanja so zasnovani z namenom izboljšanja odpornosti in varnosti omrežij in informacijskih sistemov pred kibernetskimi grožnjami ter zagotavljanja učinkovitejšega odziva na morebitne incidente.</w:t>
            </w:r>
          </w:p>
          <w:p w14:paraId="747AB43A" w14:textId="4EB0AA76" w:rsidR="005E7A57" w:rsidRPr="006D1761" w:rsidRDefault="005E7A57" w:rsidP="00EE08C0">
            <w:pPr>
              <w:overflowPunct w:val="0"/>
              <w:autoSpaceDE w:val="0"/>
              <w:autoSpaceDN w:val="0"/>
              <w:adjustRightInd w:val="0"/>
              <w:jc w:val="both"/>
              <w:textAlignment w:val="baseline"/>
              <w:rPr>
                <w:rFonts w:cs="Arial"/>
                <w:szCs w:val="20"/>
                <w:lang w:val="sl-SI" w:eastAsia="sl-SI"/>
              </w:rPr>
            </w:pPr>
          </w:p>
        </w:tc>
      </w:tr>
      <w:tr w:rsidR="00B152F3" w:rsidRPr="006D1761" w14:paraId="61B13523" w14:textId="77777777" w:rsidTr="00A23D5D">
        <w:tc>
          <w:tcPr>
            <w:tcW w:w="9166" w:type="dxa"/>
            <w:gridSpan w:val="12"/>
          </w:tcPr>
          <w:p w14:paraId="7FFE813E" w14:textId="77777777" w:rsidR="00B152F3" w:rsidRPr="006D1761" w:rsidRDefault="00B152F3" w:rsidP="00B152F3">
            <w:pPr>
              <w:suppressAutoHyphens/>
              <w:overflowPunct w:val="0"/>
              <w:autoSpaceDE w:val="0"/>
              <w:autoSpaceDN w:val="0"/>
              <w:adjustRightInd w:val="0"/>
              <w:textAlignment w:val="baseline"/>
              <w:outlineLvl w:val="3"/>
              <w:rPr>
                <w:rFonts w:cs="Arial"/>
                <w:b/>
                <w:szCs w:val="20"/>
                <w:lang w:val="sl-SI" w:eastAsia="sl-SI"/>
              </w:rPr>
            </w:pPr>
            <w:r w:rsidRPr="006D1761">
              <w:rPr>
                <w:rFonts w:cs="Arial"/>
                <w:b/>
                <w:szCs w:val="20"/>
                <w:lang w:val="sl-SI" w:eastAsia="sl-SI"/>
              </w:rPr>
              <w:lastRenderedPageBreak/>
              <w:t>6. Presoja posledic za:</w:t>
            </w:r>
          </w:p>
        </w:tc>
      </w:tr>
      <w:tr w:rsidR="00B152F3" w:rsidRPr="006D1761" w14:paraId="1640CB02" w14:textId="77777777" w:rsidTr="00A23D5D">
        <w:tc>
          <w:tcPr>
            <w:tcW w:w="1335" w:type="dxa"/>
          </w:tcPr>
          <w:p w14:paraId="6650653E" w14:textId="77777777" w:rsidR="00B152F3" w:rsidRPr="006D1761" w:rsidRDefault="00B152F3" w:rsidP="00B152F3">
            <w:pPr>
              <w:overflowPunct w:val="0"/>
              <w:autoSpaceDE w:val="0"/>
              <w:autoSpaceDN w:val="0"/>
              <w:adjustRightInd w:val="0"/>
              <w:ind w:left="360"/>
              <w:jc w:val="both"/>
              <w:textAlignment w:val="baseline"/>
              <w:rPr>
                <w:rFonts w:cs="Arial"/>
                <w:iCs/>
                <w:szCs w:val="20"/>
                <w:lang w:val="sl-SI" w:eastAsia="sl-SI"/>
              </w:rPr>
            </w:pPr>
            <w:r w:rsidRPr="006D1761">
              <w:rPr>
                <w:rFonts w:cs="Arial"/>
                <w:iCs/>
                <w:szCs w:val="20"/>
                <w:lang w:val="sl-SI" w:eastAsia="sl-SI"/>
              </w:rPr>
              <w:t>a)</w:t>
            </w:r>
          </w:p>
        </w:tc>
        <w:tc>
          <w:tcPr>
            <w:tcW w:w="5444" w:type="dxa"/>
            <w:gridSpan w:val="9"/>
          </w:tcPr>
          <w:p w14:paraId="3548DA15" w14:textId="77777777" w:rsidR="00B152F3" w:rsidRPr="006D1761" w:rsidRDefault="00B152F3" w:rsidP="00B152F3">
            <w:pPr>
              <w:overflowPunct w:val="0"/>
              <w:autoSpaceDE w:val="0"/>
              <w:autoSpaceDN w:val="0"/>
              <w:adjustRightInd w:val="0"/>
              <w:jc w:val="both"/>
              <w:textAlignment w:val="baseline"/>
              <w:rPr>
                <w:rFonts w:cs="Arial"/>
                <w:szCs w:val="20"/>
                <w:lang w:val="sl-SI" w:eastAsia="sl-SI"/>
              </w:rPr>
            </w:pPr>
            <w:r w:rsidRPr="006D1761">
              <w:rPr>
                <w:rFonts w:cs="Arial"/>
                <w:szCs w:val="20"/>
                <w:lang w:val="sl-SI" w:eastAsia="sl-SI"/>
              </w:rPr>
              <w:t>javnofinančna sredstva nad 40.000 EUR v tekočem in naslednjih treh letih</w:t>
            </w:r>
          </w:p>
        </w:tc>
        <w:tc>
          <w:tcPr>
            <w:tcW w:w="2387" w:type="dxa"/>
            <w:gridSpan w:val="2"/>
            <w:vAlign w:val="center"/>
          </w:tcPr>
          <w:p w14:paraId="46E33A4F" w14:textId="155FC7E3" w:rsidR="00B152F3" w:rsidRPr="00E1666F" w:rsidRDefault="00E1666F" w:rsidP="00E1666F">
            <w:pPr>
              <w:overflowPunct w:val="0"/>
              <w:autoSpaceDE w:val="0"/>
              <w:autoSpaceDN w:val="0"/>
              <w:adjustRightInd w:val="0"/>
              <w:jc w:val="center"/>
              <w:textAlignment w:val="baseline"/>
              <w:rPr>
                <w:rFonts w:cs="Arial"/>
                <w:b/>
                <w:bCs/>
                <w:szCs w:val="20"/>
                <w:lang w:val="sl-SI" w:eastAsia="sl-SI"/>
              </w:rPr>
            </w:pPr>
            <w:r w:rsidRPr="00E1666F">
              <w:rPr>
                <w:rFonts w:cs="Arial"/>
                <w:b/>
                <w:bCs/>
                <w:szCs w:val="20"/>
                <w:lang w:val="sl-SI" w:eastAsia="sl-SI"/>
              </w:rPr>
              <w:t>DA</w:t>
            </w:r>
          </w:p>
        </w:tc>
      </w:tr>
      <w:tr w:rsidR="00B152F3" w:rsidRPr="006D1761" w14:paraId="4CB7B80F" w14:textId="77777777" w:rsidTr="00A23D5D">
        <w:tc>
          <w:tcPr>
            <w:tcW w:w="1335" w:type="dxa"/>
          </w:tcPr>
          <w:p w14:paraId="4EB8CB31" w14:textId="77777777" w:rsidR="00B152F3" w:rsidRPr="006D1761" w:rsidRDefault="00B152F3" w:rsidP="00B152F3">
            <w:pPr>
              <w:overflowPunct w:val="0"/>
              <w:autoSpaceDE w:val="0"/>
              <w:autoSpaceDN w:val="0"/>
              <w:adjustRightInd w:val="0"/>
              <w:ind w:left="360"/>
              <w:jc w:val="both"/>
              <w:textAlignment w:val="baseline"/>
              <w:rPr>
                <w:rFonts w:cs="Arial"/>
                <w:iCs/>
                <w:szCs w:val="20"/>
                <w:lang w:val="sl-SI" w:eastAsia="sl-SI"/>
              </w:rPr>
            </w:pPr>
            <w:r w:rsidRPr="006D1761">
              <w:rPr>
                <w:rFonts w:cs="Arial"/>
                <w:iCs/>
                <w:szCs w:val="20"/>
                <w:lang w:val="sl-SI" w:eastAsia="sl-SI"/>
              </w:rPr>
              <w:t>b)</w:t>
            </w:r>
          </w:p>
        </w:tc>
        <w:tc>
          <w:tcPr>
            <w:tcW w:w="5444" w:type="dxa"/>
            <w:gridSpan w:val="9"/>
          </w:tcPr>
          <w:p w14:paraId="2257EADF" w14:textId="77777777" w:rsidR="00B152F3" w:rsidRPr="006D1761" w:rsidRDefault="00B152F3" w:rsidP="00B152F3">
            <w:pPr>
              <w:overflowPunct w:val="0"/>
              <w:autoSpaceDE w:val="0"/>
              <w:autoSpaceDN w:val="0"/>
              <w:adjustRightInd w:val="0"/>
              <w:jc w:val="both"/>
              <w:textAlignment w:val="baseline"/>
              <w:rPr>
                <w:rFonts w:cs="Arial"/>
                <w:iCs/>
                <w:szCs w:val="20"/>
                <w:lang w:val="sl-SI" w:eastAsia="sl-SI"/>
              </w:rPr>
            </w:pPr>
            <w:r w:rsidRPr="006D1761">
              <w:rPr>
                <w:rFonts w:cs="Arial"/>
                <w:bCs/>
                <w:szCs w:val="20"/>
                <w:lang w:val="sl-SI" w:eastAsia="sl-SI"/>
              </w:rPr>
              <w:t>usklajenost slovenskega pravnega reda s pravnim redom Evropske unije</w:t>
            </w:r>
          </w:p>
        </w:tc>
        <w:tc>
          <w:tcPr>
            <w:tcW w:w="2387" w:type="dxa"/>
            <w:gridSpan w:val="2"/>
            <w:vAlign w:val="center"/>
          </w:tcPr>
          <w:p w14:paraId="21DA3F36" w14:textId="24AC4EAC" w:rsidR="00B152F3" w:rsidRPr="00E1666F" w:rsidRDefault="00E1666F" w:rsidP="00B152F3">
            <w:pPr>
              <w:overflowPunct w:val="0"/>
              <w:autoSpaceDE w:val="0"/>
              <w:autoSpaceDN w:val="0"/>
              <w:adjustRightInd w:val="0"/>
              <w:jc w:val="center"/>
              <w:textAlignment w:val="baseline"/>
              <w:rPr>
                <w:rFonts w:cs="Arial"/>
                <w:b/>
                <w:bCs/>
                <w:iCs/>
                <w:szCs w:val="20"/>
                <w:lang w:val="sl-SI" w:eastAsia="sl-SI"/>
              </w:rPr>
            </w:pPr>
            <w:r w:rsidRPr="00E1666F">
              <w:rPr>
                <w:rFonts w:cs="Arial"/>
                <w:b/>
                <w:bCs/>
                <w:szCs w:val="20"/>
                <w:lang w:val="sl-SI" w:eastAsia="sl-SI"/>
              </w:rPr>
              <w:t>DA</w:t>
            </w:r>
          </w:p>
        </w:tc>
      </w:tr>
      <w:tr w:rsidR="00B152F3" w:rsidRPr="006D1761" w14:paraId="29E4FC5F" w14:textId="77777777" w:rsidTr="00A23D5D">
        <w:tc>
          <w:tcPr>
            <w:tcW w:w="1335" w:type="dxa"/>
          </w:tcPr>
          <w:p w14:paraId="3F1CEF31" w14:textId="77777777" w:rsidR="00B152F3" w:rsidRPr="006D1761" w:rsidRDefault="00B152F3" w:rsidP="00B152F3">
            <w:pPr>
              <w:overflowPunct w:val="0"/>
              <w:autoSpaceDE w:val="0"/>
              <w:autoSpaceDN w:val="0"/>
              <w:adjustRightInd w:val="0"/>
              <w:ind w:left="360"/>
              <w:jc w:val="both"/>
              <w:textAlignment w:val="baseline"/>
              <w:rPr>
                <w:rFonts w:cs="Arial"/>
                <w:iCs/>
                <w:szCs w:val="20"/>
                <w:lang w:val="sl-SI" w:eastAsia="sl-SI"/>
              </w:rPr>
            </w:pPr>
            <w:r w:rsidRPr="006D1761">
              <w:rPr>
                <w:rFonts w:cs="Arial"/>
                <w:iCs/>
                <w:szCs w:val="20"/>
                <w:lang w:val="sl-SI" w:eastAsia="sl-SI"/>
              </w:rPr>
              <w:t>c)</w:t>
            </w:r>
          </w:p>
        </w:tc>
        <w:tc>
          <w:tcPr>
            <w:tcW w:w="5444" w:type="dxa"/>
            <w:gridSpan w:val="9"/>
          </w:tcPr>
          <w:p w14:paraId="5410F92D" w14:textId="77777777" w:rsidR="00B152F3" w:rsidRPr="006D1761" w:rsidRDefault="00B152F3" w:rsidP="00B152F3">
            <w:pPr>
              <w:overflowPunct w:val="0"/>
              <w:autoSpaceDE w:val="0"/>
              <w:autoSpaceDN w:val="0"/>
              <w:adjustRightInd w:val="0"/>
              <w:jc w:val="both"/>
              <w:textAlignment w:val="baseline"/>
              <w:rPr>
                <w:rFonts w:cs="Arial"/>
                <w:iCs/>
                <w:szCs w:val="20"/>
                <w:lang w:val="sl-SI" w:eastAsia="sl-SI"/>
              </w:rPr>
            </w:pPr>
            <w:r w:rsidRPr="006D1761">
              <w:rPr>
                <w:rFonts w:cs="Arial"/>
                <w:szCs w:val="20"/>
                <w:lang w:val="sl-SI" w:eastAsia="sl-SI"/>
              </w:rPr>
              <w:t>administrativne posledice</w:t>
            </w:r>
          </w:p>
        </w:tc>
        <w:tc>
          <w:tcPr>
            <w:tcW w:w="2387" w:type="dxa"/>
            <w:gridSpan w:val="2"/>
            <w:vAlign w:val="center"/>
          </w:tcPr>
          <w:p w14:paraId="2A340D0A" w14:textId="27672B12" w:rsidR="00B152F3" w:rsidRPr="00E1666F" w:rsidRDefault="00E1666F" w:rsidP="00B152F3">
            <w:pPr>
              <w:overflowPunct w:val="0"/>
              <w:autoSpaceDE w:val="0"/>
              <w:autoSpaceDN w:val="0"/>
              <w:adjustRightInd w:val="0"/>
              <w:jc w:val="center"/>
              <w:textAlignment w:val="baseline"/>
              <w:rPr>
                <w:rFonts w:cs="Arial"/>
                <w:b/>
                <w:bCs/>
                <w:szCs w:val="20"/>
                <w:lang w:val="sl-SI" w:eastAsia="sl-SI"/>
              </w:rPr>
            </w:pPr>
            <w:r w:rsidRPr="00E1666F">
              <w:rPr>
                <w:rFonts w:cs="Arial"/>
                <w:b/>
                <w:bCs/>
                <w:szCs w:val="20"/>
                <w:lang w:val="sl-SI" w:eastAsia="sl-SI"/>
              </w:rPr>
              <w:t>DA</w:t>
            </w:r>
          </w:p>
        </w:tc>
      </w:tr>
      <w:tr w:rsidR="00B152F3" w:rsidRPr="006D1761" w14:paraId="3F0EE4B4" w14:textId="77777777" w:rsidTr="00A23D5D">
        <w:tc>
          <w:tcPr>
            <w:tcW w:w="1335" w:type="dxa"/>
          </w:tcPr>
          <w:p w14:paraId="50B283C8" w14:textId="77777777" w:rsidR="00B152F3" w:rsidRPr="006D1761" w:rsidRDefault="00B152F3" w:rsidP="00B152F3">
            <w:pPr>
              <w:overflowPunct w:val="0"/>
              <w:autoSpaceDE w:val="0"/>
              <w:autoSpaceDN w:val="0"/>
              <w:adjustRightInd w:val="0"/>
              <w:ind w:left="360"/>
              <w:jc w:val="both"/>
              <w:textAlignment w:val="baseline"/>
              <w:rPr>
                <w:rFonts w:cs="Arial"/>
                <w:iCs/>
                <w:szCs w:val="20"/>
                <w:lang w:val="sl-SI" w:eastAsia="sl-SI"/>
              </w:rPr>
            </w:pPr>
            <w:r w:rsidRPr="006D1761">
              <w:rPr>
                <w:rFonts w:cs="Arial"/>
                <w:iCs/>
                <w:szCs w:val="20"/>
                <w:lang w:val="sl-SI" w:eastAsia="sl-SI"/>
              </w:rPr>
              <w:t>č)</w:t>
            </w:r>
          </w:p>
        </w:tc>
        <w:tc>
          <w:tcPr>
            <w:tcW w:w="5444" w:type="dxa"/>
            <w:gridSpan w:val="9"/>
          </w:tcPr>
          <w:p w14:paraId="6B765D21" w14:textId="77777777" w:rsidR="00B152F3" w:rsidRPr="006D1761" w:rsidRDefault="00B152F3" w:rsidP="00B152F3">
            <w:pPr>
              <w:overflowPunct w:val="0"/>
              <w:autoSpaceDE w:val="0"/>
              <w:autoSpaceDN w:val="0"/>
              <w:adjustRightInd w:val="0"/>
              <w:jc w:val="both"/>
              <w:textAlignment w:val="baseline"/>
              <w:rPr>
                <w:rFonts w:cs="Arial"/>
                <w:bCs/>
                <w:szCs w:val="20"/>
                <w:lang w:val="sl-SI" w:eastAsia="sl-SI"/>
              </w:rPr>
            </w:pPr>
            <w:r w:rsidRPr="006D1761">
              <w:rPr>
                <w:rFonts w:cs="Arial"/>
                <w:szCs w:val="20"/>
                <w:lang w:val="sl-SI" w:eastAsia="sl-SI"/>
              </w:rPr>
              <w:t>gospodarstvo, zlasti</w:t>
            </w:r>
            <w:r w:rsidRPr="006D1761">
              <w:rPr>
                <w:rFonts w:cs="Arial"/>
                <w:bCs/>
                <w:szCs w:val="20"/>
                <w:lang w:val="sl-SI" w:eastAsia="sl-SI"/>
              </w:rPr>
              <w:t xml:space="preserve"> mala in srednja podjetja ter konkurenčnost podjetij</w:t>
            </w:r>
          </w:p>
        </w:tc>
        <w:tc>
          <w:tcPr>
            <w:tcW w:w="2387" w:type="dxa"/>
            <w:gridSpan w:val="2"/>
            <w:vAlign w:val="center"/>
          </w:tcPr>
          <w:p w14:paraId="36DFB426" w14:textId="5EA7D277" w:rsidR="00B152F3" w:rsidRPr="00E1666F" w:rsidRDefault="00E1666F" w:rsidP="00B152F3">
            <w:pPr>
              <w:overflowPunct w:val="0"/>
              <w:autoSpaceDE w:val="0"/>
              <w:autoSpaceDN w:val="0"/>
              <w:adjustRightInd w:val="0"/>
              <w:jc w:val="center"/>
              <w:textAlignment w:val="baseline"/>
              <w:rPr>
                <w:rFonts w:cs="Arial"/>
                <w:b/>
                <w:bCs/>
                <w:iCs/>
                <w:szCs w:val="20"/>
                <w:lang w:val="sl-SI" w:eastAsia="sl-SI"/>
              </w:rPr>
            </w:pPr>
            <w:r w:rsidRPr="00E1666F">
              <w:rPr>
                <w:rFonts w:cs="Arial"/>
                <w:b/>
                <w:bCs/>
                <w:szCs w:val="20"/>
                <w:lang w:val="sl-SI" w:eastAsia="sl-SI"/>
              </w:rPr>
              <w:t>DA</w:t>
            </w:r>
          </w:p>
        </w:tc>
      </w:tr>
      <w:tr w:rsidR="00B152F3" w:rsidRPr="006D1761" w14:paraId="15568389" w14:textId="77777777" w:rsidTr="00A23D5D">
        <w:tc>
          <w:tcPr>
            <w:tcW w:w="1335" w:type="dxa"/>
          </w:tcPr>
          <w:p w14:paraId="3968B17F" w14:textId="77777777" w:rsidR="00B152F3" w:rsidRPr="006D1761" w:rsidRDefault="00B152F3" w:rsidP="00B152F3">
            <w:pPr>
              <w:overflowPunct w:val="0"/>
              <w:autoSpaceDE w:val="0"/>
              <w:autoSpaceDN w:val="0"/>
              <w:adjustRightInd w:val="0"/>
              <w:ind w:left="360"/>
              <w:jc w:val="both"/>
              <w:textAlignment w:val="baseline"/>
              <w:rPr>
                <w:rFonts w:cs="Arial"/>
                <w:iCs/>
                <w:szCs w:val="20"/>
                <w:lang w:val="sl-SI" w:eastAsia="sl-SI"/>
              </w:rPr>
            </w:pPr>
            <w:r w:rsidRPr="006D1761">
              <w:rPr>
                <w:rFonts w:cs="Arial"/>
                <w:iCs/>
                <w:szCs w:val="20"/>
                <w:lang w:val="sl-SI" w:eastAsia="sl-SI"/>
              </w:rPr>
              <w:t>d)</w:t>
            </w:r>
          </w:p>
        </w:tc>
        <w:tc>
          <w:tcPr>
            <w:tcW w:w="5444" w:type="dxa"/>
            <w:gridSpan w:val="9"/>
          </w:tcPr>
          <w:p w14:paraId="006E2264" w14:textId="77777777" w:rsidR="00B152F3" w:rsidRPr="006D1761" w:rsidRDefault="00B152F3" w:rsidP="00B152F3">
            <w:pPr>
              <w:overflowPunct w:val="0"/>
              <w:autoSpaceDE w:val="0"/>
              <w:autoSpaceDN w:val="0"/>
              <w:adjustRightInd w:val="0"/>
              <w:jc w:val="both"/>
              <w:textAlignment w:val="baseline"/>
              <w:rPr>
                <w:rFonts w:cs="Arial"/>
                <w:bCs/>
                <w:szCs w:val="20"/>
                <w:lang w:val="sl-SI" w:eastAsia="sl-SI"/>
              </w:rPr>
            </w:pPr>
            <w:r w:rsidRPr="006D1761">
              <w:rPr>
                <w:rFonts w:cs="Arial"/>
                <w:bCs/>
                <w:szCs w:val="20"/>
                <w:lang w:val="sl-SI" w:eastAsia="sl-SI"/>
              </w:rPr>
              <w:t>okolje, vključno s prostorskimi in varstvenimi vidiki</w:t>
            </w:r>
          </w:p>
        </w:tc>
        <w:tc>
          <w:tcPr>
            <w:tcW w:w="2387" w:type="dxa"/>
            <w:gridSpan w:val="2"/>
            <w:vAlign w:val="center"/>
          </w:tcPr>
          <w:p w14:paraId="1C2A1439" w14:textId="6A9657A2" w:rsidR="00B152F3" w:rsidRPr="00E1666F" w:rsidRDefault="00E1666F" w:rsidP="00B152F3">
            <w:pPr>
              <w:overflowPunct w:val="0"/>
              <w:autoSpaceDE w:val="0"/>
              <w:autoSpaceDN w:val="0"/>
              <w:adjustRightInd w:val="0"/>
              <w:jc w:val="center"/>
              <w:textAlignment w:val="baseline"/>
              <w:rPr>
                <w:rFonts w:cs="Arial"/>
                <w:b/>
                <w:bCs/>
                <w:iCs/>
                <w:szCs w:val="20"/>
                <w:lang w:val="sl-SI" w:eastAsia="sl-SI"/>
              </w:rPr>
            </w:pPr>
            <w:r w:rsidRPr="00E1666F">
              <w:rPr>
                <w:rFonts w:cs="Arial"/>
                <w:b/>
                <w:bCs/>
                <w:szCs w:val="20"/>
                <w:lang w:val="sl-SI" w:eastAsia="sl-SI"/>
              </w:rPr>
              <w:t>DA</w:t>
            </w:r>
          </w:p>
        </w:tc>
      </w:tr>
      <w:tr w:rsidR="00B152F3" w:rsidRPr="006D1761" w14:paraId="5146BBCC" w14:textId="77777777" w:rsidTr="00A23D5D">
        <w:tc>
          <w:tcPr>
            <w:tcW w:w="1335" w:type="dxa"/>
          </w:tcPr>
          <w:p w14:paraId="3300DFEC" w14:textId="77777777" w:rsidR="00B152F3" w:rsidRPr="006D1761" w:rsidRDefault="00B152F3" w:rsidP="00B152F3">
            <w:pPr>
              <w:overflowPunct w:val="0"/>
              <w:autoSpaceDE w:val="0"/>
              <w:autoSpaceDN w:val="0"/>
              <w:adjustRightInd w:val="0"/>
              <w:ind w:left="360"/>
              <w:jc w:val="both"/>
              <w:textAlignment w:val="baseline"/>
              <w:rPr>
                <w:rFonts w:cs="Arial"/>
                <w:iCs/>
                <w:szCs w:val="20"/>
                <w:lang w:val="sl-SI" w:eastAsia="sl-SI"/>
              </w:rPr>
            </w:pPr>
            <w:r w:rsidRPr="006D1761">
              <w:rPr>
                <w:rFonts w:cs="Arial"/>
                <w:iCs/>
                <w:szCs w:val="20"/>
                <w:lang w:val="sl-SI" w:eastAsia="sl-SI"/>
              </w:rPr>
              <w:t>e)</w:t>
            </w:r>
          </w:p>
        </w:tc>
        <w:tc>
          <w:tcPr>
            <w:tcW w:w="5444" w:type="dxa"/>
            <w:gridSpan w:val="9"/>
          </w:tcPr>
          <w:p w14:paraId="439B24F5" w14:textId="77777777" w:rsidR="00B152F3" w:rsidRPr="006D1761" w:rsidRDefault="00B152F3" w:rsidP="00B152F3">
            <w:pPr>
              <w:overflowPunct w:val="0"/>
              <w:autoSpaceDE w:val="0"/>
              <w:autoSpaceDN w:val="0"/>
              <w:adjustRightInd w:val="0"/>
              <w:jc w:val="both"/>
              <w:textAlignment w:val="baseline"/>
              <w:rPr>
                <w:rFonts w:cs="Arial"/>
                <w:bCs/>
                <w:szCs w:val="20"/>
                <w:lang w:val="sl-SI" w:eastAsia="sl-SI"/>
              </w:rPr>
            </w:pPr>
            <w:r w:rsidRPr="006D1761">
              <w:rPr>
                <w:rFonts w:cs="Arial"/>
                <w:bCs/>
                <w:szCs w:val="20"/>
                <w:lang w:val="sl-SI" w:eastAsia="sl-SI"/>
              </w:rPr>
              <w:t>socialno področje</w:t>
            </w:r>
          </w:p>
        </w:tc>
        <w:tc>
          <w:tcPr>
            <w:tcW w:w="2387" w:type="dxa"/>
            <w:gridSpan w:val="2"/>
            <w:vAlign w:val="center"/>
          </w:tcPr>
          <w:p w14:paraId="31E5A063" w14:textId="7F762D56" w:rsidR="00B152F3" w:rsidRPr="00E1666F" w:rsidRDefault="00B152F3" w:rsidP="00B152F3">
            <w:pPr>
              <w:overflowPunct w:val="0"/>
              <w:autoSpaceDE w:val="0"/>
              <w:autoSpaceDN w:val="0"/>
              <w:adjustRightInd w:val="0"/>
              <w:jc w:val="center"/>
              <w:textAlignment w:val="baseline"/>
              <w:rPr>
                <w:rFonts w:cs="Arial"/>
                <w:iCs/>
                <w:szCs w:val="20"/>
                <w:lang w:val="sl-SI" w:eastAsia="sl-SI"/>
              </w:rPr>
            </w:pPr>
            <w:r w:rsidRPr="00E1666F">
              <w:rPr>
                <w:rFonts w:cs="Arial"/>
                <w:b/>
                <w:szCs w:val="20"/>
                <w:lang w:val="sl-SI" w:eastAsia="sl-SI"/>
              </w:rPr>
              <w:t>NE</w:t>
            </w:r>
          </w:p>
        </w:tc>
      </w:tr>
      <w:tr w:rsidR="00B152F3" w:rsidRPr="006D1761" w14:paraId="7DD2C109" w14:textId="77777777" w:rsidTr="00A23D5D">
        <w:tc>
          <w:tcPr>
            <w:tcW w:w="1335" w:type="dxa"/>
            <w:tcBorders>
              <w:bottom w:val="single" w:sz="4" w:space="0" w:color="auto"/>
            </w:tcBorders>
          </w:tcPr>
          <w:p w14:paraId="219F660A" w14:textId="77777777" w:rsidR="00B152F3" w:rsidRPr="006D1761" w:rsidRDefault="00B152F3" w:rsidP="00B152F3">
            <w:pPr>
              <w:overflowPunct w:val="0"/>
              <w:autoSpaceDE w:val="0"/>
              <w:autoSpaceDN w:val="0"/>
              <w:adjustRightInd w:val="0"/>
              <w:ind w:left="360"/>
              <w:jc w:val="both"/>
              <w:textAlignment w:val="baseline"/>
              <w:rPr>
                <w:rFonts w:cs="Arial"/>
                <w:iCs/>
                <w:szCs w:val="20"/>
                <w:lang w:val="sl-SI" w:eastAsia="sl-SI"/>
              </w:rPr>
            </w:pPr>
            <w:r w:rsidRPr="006D1761">
              <w:rPr>
                <w:rFonts w:cs="Arial"/>
                <w:iCs/>
                <w:szCs w:val="20"/>
                <w:lang w:val="sl-SI" w:eastAsia="sl-SI"/>
              </w:rPr>
              <w:t>f)</w:t>
            </w:r>
          </w:p>
        </w:tc>
        <w:tc>
          <w:tcPr>
            <w:tcW w:w="5444" w:type="dxa"/>
            <w:gridSpan w:val="9"/>
            <w:tcBorders>
              <w:bottom w:val="single" w:sz="4" w:space="0" w:color="auto"/>
            </w:tcBorders>
          </w:tcPr>
          <w:p w14:paraId="7B1A5ACE" w14:textId="77777777" w:rsidR="00B152F3" w:rsidRPr="006D1761" w:rsidRDefault="00B152F3" w:rsidP="00B152F3">
            <w:pPr>
              <w:overflowPunct w:val="0"/>
              <w:autoSpaceDE w:val="0"/>
              <w:autoSpaceDN w:val="0"/>
              <w:adjustRightInd w:val="0"/>
              <w:jc w:val="both"/>
              <w:textAlignment w:val="baseline"/>
              <w:rPr>
                <w:rFonts w:cs="Arial"/>
                <w:bCs/>
                <w:szCs w:val="20"/>
                <w:lang w:val="sl-SI" w:eastAsia="sl-SI"/>
              </w:rPr>
            </w:pPr>
            <w:r w:rsidRPr="006D1761">
              <w:rPr>
                <w:rFonts w:cs="Arial"/>
                <w:bCs/>
                <w:szCs w:val="20"/>
                <w:lang w:val="sl-SI" w:eastAsia="sl-SI"/>
              </w:rPr>
              <w:t>dokumente razvojnega načrtovanja:</w:t>
            </w:r>
          </w:p>
          <w:p w14:paraId="3D1A947C" w14:textId="77777777" w:rsidR="00B152F3" w:rsidRPr="006D1761" w:rsidRDefault="00B152F3" w:rsidP="003B2726">
            <w:pPr>
              <w:pStyle w:val="Odstavekseznama"/>
              <w:numPr>
                <w:ilvl w:val="0"/>
                <w:numId w:val="2"/>
              </w:numPr>
              <w:overflowPunct w:val="0"/>
              <w:autoSpaceDE w:val="0"/>
              <w:autoSpaceDN w:val="0"/>
              <w:adjustRightInd w:val="0"/>
              <w:ind w:left="738" w:hanging="425"/>
              <w:jc w:val="both"/>
              <w:textAlignment w:val="baseline"/>
              <w:rPr>
                <w:rFonts w:cs="Arial"/>
                <w:szCs w:val="20"/>
                <w:lang w:val="sl-SI" w:eastAsia="sl-SI"/>
              </w:rPr>
            </w:pPr>
            <w:r w:rsidRPr="006D1761">
              <w:rPr>
                <w:rFonts w:cs="Arial"/>
                <w:szCs w:val="20"/>
                <w:lang w:val="sl-SI" w:eastAsia="sl-SI"/>
              </w:rPr>
              <w:t>nacionalne dokumente razvojnega načrtovanja</w:t>
            </w:r>
          </w:p>
          <w:p w14:paraId="3FBF386E" w14:textId="77777777" w:rsidR="00B152F3" w:rsidRPr="006D1761" w:rsidRDefault="00B152F3" w:rsidP="003B2726">
            <w:pPr>
              <w:pStyle w:val="Odstavekseznama"/>
              <w:numPr>
                <w:ilvl w:val="0"/>
                <w:numId w:val="2"/>
              </w:numPr>
              <w:overflowPunct w:val="0"/>
              <w:autoSpaceDE w:val="0"/>
              <w:autoSpaceDN w:val="0"/>
              <w:adjustRightInd w:val="0"/>
              <w:ind w:left="738" w:hanging="425"/>
              <w:jc w:val="both"/>
              <w:textAlignment w:val="baseline"/>
              <w:rPr>
                <w:rFonts w:cs="Arial"/>
                <w:szCs w:val="20"/>
                <w:lang w:val="sl-SI" w:eastAsia="sl-SI"/>
              </w:rPr>
            </w:pPr>
            <w:r w:rsidRPr="006D1761">
              <w:rPr>
                <w:rFonts w:cs="Arial"/>
                <w:szCs w:val="20"/>
                <w:lang w:val="sl-SI" w:eastAsia="sl-SI"/>
              </w:rPr>
              <w:t>razvojne politike na ravni programov po strukturi razvojne klasifikacije programskega proračuna</w:t>
            </w:r>
          </w:p>
          <w:p w14:paraId="25E4B692" w14:textId="77777777" w:rsidR="00B152F3" w:rsidRPr="006D1761" w:rsidRDefault="00B152F3" w:rsidP="003B2726">
            <w:pPr>
              <w:pStyle w:val="Odstavekseznama"/>
              <w:numPr>
                <w:ilvl w:val="0"/>
                <w:numId w:val="2"/>
              </w:numPr>
              <w:overflowPunct w:val="0"/>
              <w:autoSpaceDE w:val="0"/>
              <w:autoSpaceDN w:val="0"/>
              <w:adjustRightInd w:val="0"/>
              <w:ind w:left="738" w:hanging="425"/>
              <w:jc w:val="both"/>
              <w:textAlignment w:val="baseline"/>
              <w:rPr>
                <w:rFonts w:cs="Arial"/>
                <w:bCs/>
                <w:szCs w:val="20"/>
                <w:lang w:val="sl-SI" w:eastAsia="sl-SI"/>
              </w:rPr>
            </w:pPr>
            <w:r w:rsidRPr="006D1761">
              <w:rPr>
                <w:rFonts w:cs="Arial"/>
                <w:szCs w:val="20"/>
                <w:lang w:val="sl-SI" w:eastAsia="sl-SI"/>
              </w:rPr>
              <w:t>razvojne dokumente Evropske unije in mednarodnih organizacij</w:t>
            </w:r>
          </w:p>
        </w:tc>
        <w:tc>
          <w:tcPr>
            <w:tcW w:w="2387" w:type="dxa"/>
            <w:gridSpan w:val="2"/>
            <w:tcBorders>
              <w:bottom w:val="single" w:sz="4" w:space="0" w:color="auto"/>
            </w:tcBorders>
            <w:vAlign w:val="center"/>
          </w:tcPr>
          <w:p w14:paraId="523CB403" w14:textId="7203D400" w:rsidR="00B152F3" w:rsidRPr="00E1666F" w:rsidRDefault="00B152F3" w:rsidP="00B152F3">
            <w:pPr>
              <w:overflowPunct w:val="0"/>
              <w:autoSpaceDE w:val="0"/>
              <w:autoSpaceDN w:val="0"/>
              <w:adjustRightInd w:val="0"/>
              <w:jc w:val="center"/>
              <w:textAlignment w:val="baseline"/>
              <w:rPr>
                <w:rFonts w:cs="Arial"/>
                <w:iCs/>
                <w:szCs w:val="20"/>
                <w:lang w:val="sl-SI" w:eastAsia="sl-SI"/>
              </w:rPr>
            </w:pPr>
            <w:r w:rsidRPr="00E1666F">
              <w:rPr>
                <w:rFonts w:cs="Arial"/>
                <w:b/>
                <w:szCs w:val="20"/>
                <w:lang w:val="sl-SI" w:eastAsia="sl-SI"/>
              </w:rPr>
              <w:t>NE</w:t>
            </w:r>
          </w:p>
        </w:tc>
      </w:tr>
      <w:tr w:rsidR="00B152F3" w:rsidRPr="00804BB9" w14:paraId="02A1CD3B" w14:textId="77777777" w:rsidTr="00A23D5D">
        <w:tc>
          <w:tcPr>
            <w:tcW w:w="9166" w:type="dxa"/>
            <w:gridSpan w:val="12"/>
            <w:tcBorders>
              <w:top w:val="single" w:sz="4" w:space="0" w:color="auto"/>
              <w:left w:val="single" w:sz="4" w:space="0" w:color="auto"/>
              <w:bottom w:val="single" w:sz="4" w:space="0" w:color="auto"/>
              <w:right w:val="single" w:sz="4" w:space="0" w:color="auto"/>
            </w:tcBorders>
          </w:tcPr>
          <w:p w14:paraId="19447055" w14:textId="77777777" w:rsidR="00B152F3" w:rsidRPr="006D1761" w:rsidRDefault="00B152F3" w:rsidP="00B152F3">
            <w:pPr>
              <w:widowControl w:val="0"/>
              <w:suppressAutoHyphens/>
              <w:overflowPunct w:val="0"/>
              <w:autoSpaceDE w:val="0"/>
              <w:autoSpaceDN w:val="0"/>
              <w:adjustRightInd w:val="0"/>
              <w:textAlignment w:val="baseline"/>
              <w:outlineLvl w:val="3"/>
              <w:rPr>
                <w:rFonts w:cs="Arial"/>
                <w:b/>
                <w:szCs w:val="20"/>
                <w:lang w:val="sl-SI" w:eastAsia="sl-SI"/>
              </w:rPr>
            </w:pPr>
            <w:r w:rsidRPr="006D1761">
              <w:rPr>
                <w:rFonts w:cs="Arial"/>
                <w:b/>
                <w:szCs w:val="20"/>
                <w:lang w:val="sl-SI" w:eastAsia="sl-SI"/>
              </w:rPr>
              <w:t>7.a Predstavitev ocene finančnih posledic nad 40.000 EUR:</w:t>
            </w:r>
          </w:p>
          <w:p w14:paraId="71961C4E" w14:textId="3E1FACA0" w:rsidR="00B152F3" w:rsidRPr="006D1761" w:rsidRDefault="00B152F3" w:rsidP="00B152F3">
            <w:pPr>
              <w:widowControl w:val="0"/>
              <w:suppressAutoHyphens/>
              <w:overflowPunct w:val="0"/>
              <w:autoSpaceDE w:val="0"/>
              <w:autoSpaceDN w:val="0"/>
              <w:adjustRightInd w:val="0"/>
              <w:textAlignment w:val="baseline"/>
              <w:outlineLvl w:val="3"/>
              <w:rPr>
                <w:rFonts w:cs="Arial"/>
                <w:bCs/>
                <w:szCs w:val="20"/>
                <w:lang w:val="sl-SI" w:eastAsia="sl-SI"/>
              </w:rPr>
            </w:pPr>
          </w:p>
          <w:p w14:paraId="602E5818" w14:textId="712A825B" w:rsidR="00CA0C1F" w:rsidRPr="006D1761" w:rsidRDefault="00CA0C1F" w:rsidP="00CA0C1F">
            <w:pPr>
              <w:widowControl w:val="0"/>
              <w:suppressAutoHyphens/>
              <w:overflowPunct w:val="0"/>
              <w:autoSpaceDE w:val="0"/>
              <w:autoSpaceDN w:val="0"/>
              <w:adjustRightInd w:val="0"/>
              <w:textAlignment w:val="baseline"/>
              <w:outlineLvl w:val="3"/>
              <w:rPr>
                <w:rFonts w:cs="Arial"/>
                <w:bCs/>
                <w:szCs w:val="20"/>
                <w:lang w:val="sl-SI" w:eastAsia="sl-SI"/>
              </w:rPr>
            </w:pPr>
            <w:r w:rsidRPr="006D1761">
              <w:rPr>
                <w:rFonts w:cs="Arial"/>
                <w:bCs/>
                <w:szCs w:val="20"/>
                <w:lang w:val="sl-SI" w:eastAsia="sl-SI"/>
              </w:rPr>
              <w:t>Predlog zakona ima finančn</w:t>
            </w:r>
            <w:r w:rsidR="00EE08C0" w:rsidRPr="006D1761">
              <w:rPr>
                <w:rFonts w:cs="Arial"/>
                <w:bCs/>
                <w:szCs w:val="20"/>
                <w:lang w:val="sl-SI" w:eastAsia="sl-SI"/>
              </w:rPr>
              <w:t>e</w:t>
            </w:r>
            <w:r w:rsidRPr="006D1761">
              <w:rPr>
                <w:rFonts w:cs="Arial"/>
                <w:bCs/>
                <w:szCs w:val="20"/>
                <w:lang w:val="sl-SI" w:eastAsia="sl-SI"/>
              </w:rPr>
              <w:t xml:space="preserve"> posledic</w:t>
            </w:r>
            <w:r w:rsidR="00EE08C0" w:rsidRPr="006D1761">
              <w:rPr>
                <w:rFonts w:cs="Arial"/>
                <w:bCs/>
                <w:szCs w:val="20"/>
                <w:lang w:val="sl-SI" w:eastAsia="sl-SI"/>
              </w:rPr>
              <w:t>e</w:t>
            </w:r>
            <w:r w:rsidR="00F2338B" w:rsidRPr="006D1761">
              <w:rPr>
                <w:rFonts w:cs="Arial"/>
                <w:bCs/>
                <w:szCs w:val="20"/>
                <w:lang w:val="sl-SI" w:eastAsia="sl-SI"/>
              </w:rPr>
              <w:t>.</w:t>
            </w:r>
          </w:p>
          <w:p w14:paraId="26C8DBB7" w14:textId="77777777" w:rsidR="00B152F3" w:rsidRPr="006D1761" w:rsidRDefault="00B152F3" w:rsidP="00B152F3">
            <w:pPr>
              <w:jc w:val="both"/>
              <w:rPr>
                <w:rFonts w:cs="Arial"/>
                <w:szCs w:val="20"/>
                <w:lang w:val="sl-SI" w:eastAsia="sl-SI"/>
              </w:rPr>
            </w:pPr>
          </w:p>
        </w:tc>
      </w:tr>
      <w:tr w:rsidR="00B152F3" w:rsidRPr="00804BB9" w14:paraId="1DDBE812" w14:textId="77777777" w:rsidTr="00DD77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9166" w:type="dxa"/>
            <w:gridSpan w:val="12"/>
            <w:shd w:val="clear" w:color="auto" w:fill="D9D9D9"/>
            <w:vAlign w:val="center"/>
          </w:tcPr>
          <w:p w14:paraId="144B0A6E" w14:textId="77777777" w:rsidR="00B152F3" w:rsidRPr="006D1761" w:rsidRDefault="00B152F3" w:rsidP="00B152F3">
            <w:pPr>
              <w:spacing w:line="240" w:lineRule="auto"/>
              <w:rPr>
                <w:rFonts w:cs="Arial"/>
                <w:kern w:val="32"/>
                <w:szCs w:val="20"/>
                <w:lang w:val="sl-SI" w:eastAsia="sl-SI"/>
              </w:rPr>
            </w:pPr>
            <w:r w:rsidRPr="006D1761">
              <w:rPr>
                <w:rFonts w:cs="Arial"/>
                <w:b/>
                <w:kern w:val="32"/>
                <w:szCs w:val="20"/>
                <w:lang w:val="sl-SI" w:eastAsia="sl-SI"/>
              </w:rPr>
              <w:t>I. Ocena finančnih posledic, ki niso načrtovane v sprejetem proračunu</w:t>
            </w:r>
          </w:p>
        </w:tc>
      </w:tr>
      <w:tr w:rsidR="00B152F3" w:rsidRPr="006D1761" w14:paraId="44C2671B" w14:textId="77777777" w:rsidTr="00A23D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76"/>
        </w:trPr>
        <w:tc>
          <w:tcPr>
            <w:tcW w:w="2857" w:type="dxa"/>
            <w:gridSpan w:val="3"/>
            <w:vAlign w:val="center"/>
          </w:tcPr>
          <w:p w14:paraId="1862B74F" w14:textId="77777777" w:rsidR="00B152F3" w:rsidRPr="006D1761" w:rsidRDefault="00B152F3" w:rsidP="00B152F3">
            <w:pPr>
              <w:widowControl w:val="0"/>
              <w:ind w:left="-122" w:right="-112"/>
              <w:jc w:val="center"/>
              <w:rPr>
                <w:rFonts w:cs="Arial"/>
                <w:szCs w:val="20"/>
                <w:lang w:val="sl-SI"/>
              </w:rPr>
            </w:pPr>
          </w:p>
        </w:tc>
        <w:tc>
          <w:tcPr>
            <w:tcW w:w="1831" w:type="dxa"/>
            <w:gridSpan w:val="2"/>
            <w:vAlign w:val="center"/>
          </w:tcPr>
          <w:p w14:paraId="1E1F1117" w14:textId="77777777" w:rsidR="00B152F3" w:rsidRPr="006D1761" w:rsidRDefault="00B152F3" w:rsidP="00B152F3">
            <w:pPr>
              <w:widowControl w:val="0"/>
              <w:jc w:val="center"/>
              <w:rPr>
                <w:rFonts w:cs="Arial"/>
                <w:szCs w:val="20"/>
                <w:lang w:val="sl-SI"/>
              </w:rPr>
            </w:pPr>
            <w:r w:rsidRPr="006D1761">
              <w:rPr>
                <w:rFonts w:cs="Arial"/>
                <w:szCs w:val="20"/>
                <w:lang w:val="sl-SI"/>
              </w:rPr>
              <w:t>Tekoče leto (t)</w:t>
            </w:r>
          </w:p>
        </w:tc>
        <w:tc>
          <w:tcPr>
            <w:tcW w:w="913" w:type="dxa"/>
            <w:vAlign w:val="center"/>
          </w:tcPr>
          <w:p w14:paraId="28DF6C75" w14:textId="77777777" w:rsidR="00B152F3" w:rsidRPr="006D1761" w:rsidRDefault="00B152F3" w:rsidP="00B152F3">
            <w:pPr>
              <w:widowControl w:val="0"/>
              <w:jc w:val="center"/>
              <w:rPr>
                <w:rFonts w:cs="Arial"/>
                <w:szCs w:val="20"/>
                <w:lang w:val="sl-SI"/>
              </w:rPr>
            </w:pPr>
            <w:r w:rsidRPr="006D1761">
              <w:rPr>
                <w:rFonts w:cs="Arial"/>
                <w:szCs w:val="20"/>
                <w:lang w:val="sl-SI"/>
              </w:rPr>
              <w:t>t + 1</w:t>
            </w:r>
          </w:p>
        </w:tc>
        <w:tc>
          <w:tcPr>
            <w:tcW w:w="1371" w:type="dxa"/>
            <w:gridSpan w:val="5"/>
            <w:vAlign w:val="center"/>
          </w:tcPr>
          <w:p w14:paraId="1E509AD3" w14:textId="77777777" w:rsidR="00B152F3" w:rsidRPr="006D1761" w:rsidRDefault="00B152F3" w:rsidP="00B152F3">
            <w:pPr>
              <w:widowControl w:val="0"/>
              <w:jc w:val="center"/>
              <w:rPr>
                <w:rFonts w:cs="Arial"/>
                <w:szCs w:val="20"/>
                <w:lang w:val="sl-SI"/>
              </w:rPr>
            </w:pPr>
            <w:r w:rsidRPr="006D1761">
              <w:rPr>
                <w:rFonts w:cs="Arial"/>
                <w:szCs w:val="20"/>
                <w:lang w:val="sl-SI"/>
              </w:rPr>
              <w:t>t + 2</w:t>
            </w:r>
          </w:p>
        </w:tc>
        <w:tc>
          <w:tcPr>
            <w:tcW w:w="2194" w:type="dxa"/>
            <w:vAlign w:val="center"/>
          </w:tcPr>
          <w:p w14:paraId="15504DB9" w14:textId="77777777" w:rsidR="00B152F3" w:rsidRPr="006D1761" w:rsidRDefault="00B152F3" w:rsidP="00B152F3">
            <w:pPr>
              <w:spacing w:line="240" w:lineRule="auto"/>
              <w:jc w:val="center"/>
              <w:rPr>
                <w:rFonts w:cs="Arial"/>
                <w:szCs w:val="20"/>
                <w:lang w:val="sl-SI"/>
              </w:rPr>
            </w:pPr>
            <w:r w:rsidRPr="006D1761">
              <w:rPr>
                <w:rFonts w:cs="Arial"/>
                <w:szCs w:val="20"/>
                <w:lang w:val="sl-SI"/>
              </w:rPr>
              <w:t>t + 3</w:t>
            </w:r>
          </w:p>
        </w:tc>
      </w:tr>
      <w:tr w:rsidR="00B152F3" w:rsidRPr="006D1761" w14:paraId="3FE26958" w14:textId="77777777" w:rsidTr="00A23D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vAlign w:val="center"/>
          </w:tcPr>
          <w:p w14:paraId="70FA59C9" w14:textId="77777777" w:rsidR="00B152F3" w:rsidRPr="006D1761" w:rsidRDefault="00B152F3" w:rsidP="00B152F3">
            <w:pPr>
              <w:widowControl w:val="0"/>
              <w:rPr>
                <w:rFonts w:cs="Arial"/>
                <w:bCs/>
                <w:szCs w:val="20"/>
                <w:lang w:val="sl-SI"/>
              </w:rPr>
            </w:pPr>
            <w:r w:rsidRPr="006D1761">
              <w:rPr>
                <w:rFonts w:cs="Arial"/>
                <w:bCs/>
                <w:szCs w:val="20"/>
                <w:lang w:val="sl-SI"/>
              </w:rPr>
              <w:t>Predvideno povečanje (+) ali zmanjšanje (</w:t>
            </w:r>
            <w:r w:rsidRPr="006D1761">
              <w:rPr>
                <w:rFonts w:cs="Arial"/>
                <w:b/>
                <w:szCs w:val="20"/>
                <w:lang w:val="sl-SI"/>
              </w:rPr>
              <w:t>–</w:t>
            </w:r>
            <w:r w:rsidRPr="006D1761">
              <w:rPr>
                <w:rFonts w:cs="Arial"/>
                <w:bCs/>
                <w:szCs w:val="20"/>
                <w:lang w:val="sl-SI"/>
              </w:rPr>
              <w:t xml:space="preserve">) prihodkov državnega proračuna </w:t>
            </w:r>
          </w:p>
        </w:tc>
        <w:tc>
          <w:tcPr>
            <w:tcW w:w="1831" w:type="dxa"/>
            <w:gridSpan w:val="2"/>
            <w:vAlign w:val="center"/>
          </w:tcPr>
          <w:p w14:paraId="4F537233" w14:textId="77777777" w:rsidR="00B152F3" w:rsidRPr="006D1761" w:rsidRDefault="00B152F3" w:rsidP="00B152F3">
            <w:pPr>
              <w:widowControl w:val="0"/>
              <w:tabs>
                <w:tab w:val="left" w:pos="360"/>
              </w:tabs>
              <w:jc w:val="center"/>
              <w:outlineLvl w:val="0"/>
              <w:rPr>
                <w:rFonts w:cs="Arial"/>
                <w:bCs/>
                <w:kern w:val="32"/>
                <w:szCs w:val="20"/>
                <w:lang w:val="sl-SI" w:eastAsia="sl-SI"/>
              </w:rPr>
            </w:pPr>
          </w:p>
        </w:tc>
        <w:tc>
          <w:tcPr>
            <w:tcW w:w="913" w:type="dxa"/>
            <w:vAlign w:val="center"/>
          </w:tcPr>
          <w:p w14:paraId="4F50E3DF" w14:textId="77777777" w:rsidR="00B152F3" w:rsidRPr="006D1761" w:rsidRDefault="00B152F3" w:rsidP="00B152F3">
            <w:pPr>
              <w:widowControl w:val="0"/>
              <w:tabs>
                <w:tab w:val="left" w:pos="360"/>
              </w:tabs>
              <w:jc w:val="center"/>
              <w:outlineLvl w:val="0"/>
              <w:rPr>
                <w:rFonts w:cs="Arial"/>
                <w:bCs/>
                <w:kern w:val="32"/>
                <w:szCs w:val="20"/>
                <w:lang w:val="sl-SI" w:eastAsia="sl-SI"/>
              </w:rPr>
            </w:pPr>
          </w:p>
        </w:tc>
        <w:tc>
          <w:tcPr>
            <w:tcW w:w="1371" w:type="dxa"/>
            <w:gridSpan w:val="5"/>
            <w:vAlign w:val="center"/>
          </w:tcPr>
          <w:p w14:paraId="6D42B794" w14:textId="77777777" w:rsidR="00B152F3" w:rsidRPr="006D1761" w:rsidRDefault="00B152F3" w:rsidP="00B152F3">
            <w:pPr>
              <w:widowControl w:val="0"/>
              <w:tabs>
                <w:tab w:val="left" w:pos="360"/>
              </w:tabs>
              <w:jc w:val="center"/>
              <w:outlineLvl w:val="0"/>
              <w:rPr>
                <w:rFonts w:cs="Arial"/>
                <w:kern w:val="32"/>
                <w:szCs w:val="20"/>
                <w:lang w:val="sl-SI" w:eastAsia="sl-SI"/>
              </w:rPr>
            </w:pPr>
          </w:p>
        </w:tc>
        <w:tc>
          <w:tcPr>
            <w:tcW w:w="2194" w:type="dxa"/>
            <w:vAlign w:val="center"/>
          </w:tcPr>
          <w:p w14:paraId="3389933D" w14:textId="77777777" w:rsidR="00B152F3" w:rsidRPr="006D1761" w:rsidRDefault="00B152F3" w:rsidP="00B152F3">
            <w:pPr>
              <w:spacing w:line="240" w:lineRule="auto"/>
              <w:rPr>
                <w:rFonts w:cs="Arial"/>
                <w:kern w:val="32"/>
                <w:szCs w:val="20"/>
                <w:lang w:val="sl-SI" w:eastAsia="sl-SI"/>
              </w:rPr>
            </w:pPr>
          </w:p>
        </w:tc>
      </w:tr>
      <w:tr w:rsidR="00B152F3" w:rsidRPr="006D1761" w14:paraId="2848083F" w14:textId="77777777" w:rsidTr="00A23D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vAlign w:val="center"/>
          </w:tcPr>
          <w:p w14:paraId="6BF03B2B" w14:textId="77777777" w:rsidR="00B152F3" w:rsidRPr="006D1761" w:rsidRDefault="00B152F3" w:rsidP="00B152F3">
            <w:pPr>
              <w:widowControl w:val="0"/>
              <w:rPr>
                <w:rFonts w:cs="Arial"/>
                <w:bCs/>
                <w:szCs w:val="20"/>
                <w:lang w:val="sl-SI"/>
              </w:rPr>
            </w:pPr>
            <w:r w:rsidRPr="006D1761">
              <w:rPr>
                <w:rFonts w:cs="Arial"/>
                <w:bCs/>
                <w:szCs w:val="20"/>
                <w:lang w:val="sl-SI"/>
              </w:rPr>
              <w:t>Predvideno povečanje (+) ali zmanjšanje (</w:t>
            </w:r>
            <w:r w:rsidRPr="006D1761">
              <w:rPr>
                <w:rFonts w:cs="Arial"/>
                <w:b/>
                <w:szCs w:val="20"/>
                <w:lang w:val="sl-SI"/>
              </w:rPr>
              <w:t>–</w:t>
            </w:r>
            <w:r w:rsidRPr="006D1761">
              <w:rPr>
                <w:rFonts w:cs="Arial"/>
                <w:bCs/>
                <w:szCs w:val="20"/>
                <w:lang w:val="sl-SI"/>
              </w:rPr>
              <w:t xml:space="preserve">) prihodkov občinskih proračunov </w:t>
            </w:r>
          </w:p>
        </w:tc>
        <w:tc>
          <w:tcPr>
            <w:tcW w:w="1831" w:type="dxa"/>
            <w:gridSpan w:val="2"/>
            <w:vAlign w:val="center"/>
          </w:tcPr>
          <w:p w14:paraId="7A1AD787" w14:textId="77777777" w:rsidR="00B152F3" w:rsidRPr="006D1761" w:rsidRDefault="00B152F3" w:rsidP="00B152F3">
            <w:pPr>
              <w:widowControl w:val="0"/>
              <w:tabs>
                <w:tab w:val="left" w:pos="360"/>
              </w:tabs>
              <w:jc w:val="center"/>
              <w:outlineLvl w:val="0"/>
              <w:rPr>
                <w:rFonts w:cs="Arial"/>
                <w:bCs/>
                <w:kern w:val="32"/>
                <w:szCs w:val="20"/>
                <w:lang w:val="sl-SI" w:eastAsia="sl-SI"/>
              </w:rPr>
            </w:pPr>
          </w:p>
        </w:tc>
        <w:tc>
          <w:tcPr>
            <w:tcW w:w="913" w:type="dxa"/>
            <w:vAlign w:val="center"/>
          </w:tcPr>
          <w:p w14:paraId="72CB606F" w14:textId="77777777" w:rsidR="00B152F3" w:rsidRPr="006D1761" w:rsidRDefault="00B152F3" w:rsidP="00B152F3">
            <w:pPr>
              <w:widowControl w:val="0"/>
              <w:tabs>
                <w:tab w:val="left" w:pos="360"/>
              </w:tabs>
              <w:jc w:val="center"/>
              <w:outlineLvl w:val="0"/>
              <w:rPr>
                <w:rFonts w:cs="Arial"/>
                <w:bCs/>
                <w:kern w:val="32"/>
                <w:szCs w:val="20"/>
                <w:lang w:val="sl-SI" w:eastAsia="sl-SI"/>
              </w:rPr>
            </w:pPr>
          </w:p>
        </w:tc>
        <w:tc>
          <w:tcPr>
            <w:tcW w:w="1371" w:type="dxa"/>
            <w:gridSpan w:val="5"/>
            <w:vAlign w:val="center"/>
          </w:tcPr>
          <w:p w14:paraId="7F3F6F0B" w14:textId="77777777" w:rsidR="00B152F3" w:rsidRPr="006D1761" w:rsidRDefault="00B152F3" w:rsidP="00B152F3">
            <w:pPr>
              <w:widowControl w:val="0"/>
              <w:tabs>
                <w:tab w:val="left" w:pos="360"/>
              </w:tabs>
              <w:jc w:val="center"/>
              <w:outlineLvl w:val="0"/>
              <w:rPr>
                <w:rFonts w:cs="Arial"/>
                <w:kern w:val="32"/>
                <w:szCs w:val="20"/>
                <w:lang w:val="sl-SI" w:eastAsia="sl-SI"/>
              </w:rPr>
            </w:pPr>
          </w:p>
        </w:tc>
        <w:tc>
          <w:tcPr>
            <w:tcW w:w="2194" w:type="dxa"/>
            <w:vAlign w:val="center"/>
          </w:tcPr>
          <w:p w14:paraId="3F93E86A" w14:textId="77777777" w:rsidR="00B152F3" w:rsidRPr="006D1761" w:rsidRDefault="00B152F3" w:rsidP="00B152F3">
            <w:pPr>
              <w:spacing w:line="240" w:lineRule="auto"/>
              <w:rPr>
                <w:rFonts w:cs="Arial"/>
                <w:kern w:val="32"/>
                <w:szCs w:val="20"/>
                <w:lang w:val="sl-SI" w:eastAsia="sl-SI"/>
              </w:rPr>
            </w:pPr>
          </w:p>
        </w:tc>
      </w:tr>
      <w:tr w:rsidR="00B152F3" w:rsidRPr="006D1761" w14:paraId="53969578" w14:textId="77777777" w:rsidTr="00A23D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vAlign w:val="center"/>
          </w:tcPr>
          <w:p w14:paraId="6E711547" w14:textId="77777777" w:rsidR="00B152F3" w:rsidRPr="006D1761" w:rsidRDefault="00B152F3" w:rsidP="00B152F3">
            <w:pPr>
              <w:widowControl w:val="0"/>
              <w:rPr>
                <w:rFonts w:cs="Arial"/>
                <w:bCs/>
                <w:szCs w:val="20"/>
                <w:lang w:val="sl-SI"/>
              </w:rPr>
            </w:pPr>
            <w:r w:rsidRPr="006D1761">
              <w:rPr>
                <w:rFonts w:cs="Arial"/>
                <w:bCs/>
                <w:szCs w:val="20"/>
                <w:lang w:val="sl-SI"/>
              </w:rPr>
              <w:lastRenderedPageBreak/>
              <w:t>Predvideno povečanje (+) ali zmanjšanje (</w:t>
            </w:r>
            <w:r w:rsidRPr="006D1761">
              <w:rPr>
                <w:rFonts w:cs="Arial"/>
                <w:b/>
                <w:szCs w:val="20"/>
                <w:lang w:val="sl-SI"/>
              </w:rPr>
              <w:t>–</w:t>
            </w:r>
            <w:r w:rsidRPr="006D1761">
              <w:rPr>
                <w:rFonts w:cs="Arial"/>
                <w:bCs/>
                <w:szCs w:val="20"/>
                <w:lang w:val="sl-SI"/>
              </w:rPr>
              <w:t xml:space="preserve">) odhodkov državnega proračuna </w:t>
            </w:r>
          </w:p>
        </w:tc>
        <w:tc>
          <w:tcPr>
            <w:tcW w:w="1831" w:type="dxa"/>
            <w:gridSpan w:val="2"/>
            <w:vAlign w:val="center"/>
          </w:tcPr>
          <w:p w14:paraId="034A2E12" w14:textId="77777777" w:rsidR="00B152F3" w:rsidRPr="006D1761" w:rsidRDefault="00B152F3" w:rsidP="00B152F3">
            <w:pPr>
              <w:widowControl w:val="0"/>
              <w:jc w:val="center"/>
              <w:rPr>
                <w:rFonts w:cs="Arial"/>
                <w:szCs w:val="20"/>
                <w:lang w:val="sl-SI"/>
              </w:rPr>
            </w:pPr>
          </w:p>
        </w:tc>
        <w:tc>
          <w:tcPr>
            <w:tcW w:w="913" w:type="dxa"/>
            <w:vAlign w:val="center"/>
          </w:tcPr>
          <w:p w14:paraId="4FD623F5" w14:textId="77777777" w:rsidR="00B152F3" w:rsidRPr="006D1761" w:rsidRDefault="00B152F3" w:rsidP="00B152F3">
            <w:pPr>
              <w:widowControl w:val="0"/>
              <w:jc w:val="center"/>
              <w:rPr>
                <w:rFonts w:cs="Arial"/>
                <w:szCs w:val="20"/>
                <w:lang w:val="sl-SI"/>
              </w:rPr>
            </w:pPr>
          </w:p>
        </w:tc>
        <w:tc>
          <w:tcPr>
            <w:tcW w:w="1371" w:type="dxa"/>
            <w:gridSpan w:val="5"/>
            <w:vAlign w:val="center"/>
          </w:tcPr>
          <w:p w14:paraId="652E496B" w14:textId="77777777" w:rsidR="00B152F3" w:rsidRPr="006D1761" w:rsidRDefault="00B152F3" w:rsidP="00B152F3">
            <w:pPr>
              <w:widowControl w:val="0"/>
              <w:jc w:val="center"/>
              <w:rPr>
                <w:rFonts w:cs="Arial"/>
                <w:strike/>
                <w:szCs w:val="20"/>
                <w:lang w:val="sl-SI"/>
              </w:rPr>
            </w:pPr>
          </w:p>
        </w:tc>
        <w:tc>
          <w:tcPr>
            <w:tcW w:w="2194" w:type="dxa"/>
            <w:vAlign w:val="center"/>
          </w:tcPr>
          <w:p w14:paraId="3BC36F6E" w14:textId="77777777" w:rsidR="00B152F3" w:rsidRPr="006D1761" w:rsidRDefault="00B152F3" w:rsidP="00B152F3">
            <w:pPr>
              <w:spacing w:line="240" w:lineRule="auto"/>
              <w:rPr>
                <w:rFonts w:cs="Arial"/>
                <w:strike/>
                <w:szCs w:val="20"/>
                <w:lang w:val="sl-SI"/>
              </w:rPr>
            </w:pPr>
          </w:p>
        </w:tc>
      </w:tr>
      <w:tr w:rsidR="00B152F3" w:rsidRPr="006D1761" w14:paraId="4400A890" w14:textId="77777777" w:rsidTr="00A23D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23"/>
        </w:trPr>
        <w:tc>
          <w:tcPr>
            <w:tcW w:w="2857" w:type="dxa"/>
            <w:gridSpan w:val="3"/>
            <w:vAlign w:val="center"/>
          </w:tcPr>
          <w:p w14:paraId="52F0F382" w14:textId="77777777" w:rsidR="00B152F3" w:rsidRPr="006D1761" w:rsidRDefault="00B152F3" w:rsidP="00B152F3">
            <w:pPr>
              <w:widowControl w:val="0"/>
              <w:rPr>
                <w:rFonts w:cs="Arial"/>
                <w:bCs/>
                <w:szCs w:val="20"/>
                <w:lang w:val="sl-SI"/>
              </w:rPr>
            </w:pPr>
            <w:r w:rsidRPr="006D1761">
              <w:rPr>
                <w:rFonts w:cs="Arial"/>
                <w:bCs/>
                <w:szCs w:val="20"/>
                <w:lang w:val="sl-SI"/>
              </w:rPr>
              <w:t>Predvideno povečanje (+) ali zmanjšanje (</w:t>
            </w:r>
            <w:r w:rsidRPr="006D1761">
              <w:rPr>
                <w:rFonts w:cs="Arial"/>
                <w:b/>
                <w:szCs w:val="20"/>
                <w:lang w:val="sl-SI"/>
              </w:rPr>
              <w:t>–</w:t>
            </w:r>
            <w:r w:rsidRPr="006D1761">
              <w:rPr>
                <w:rFonts w:cs="Arial"/>
                <w:bCs/>
                <w:szCs w:val="20"/>
                <w:lang w:val="sl-SI"/>
              </w:rPr>
              <w:t>) odhodkov občinskih proračunov</w:t>
            </w:r>
          </w:p>
        </w:tc>
        <w:tc>
          <w:tcPr>
            <w:tcW w:w="1831" w:type="dxa"/>
            <w:gridSpan w:val="2"/>
            <w:vAlign w:val="center"/>
          </w:tcPr>
          <w:p w14:paraId="00BAB70B" w14:textId="77777777" w:rsidR="00B152F3" w:rsidRPr="006D1761" w:rsidRDefault="00B152F3" w:rsidP="00B152F3">
            <w:pPr>
              <w:widowControl w:val="0"/>
              <w:jc w:val="center"/>
              <w:rPr>
                <w:rFonts w:cs="Arial"/>
                <w:szCs w:val="20"/>
                <w:lang w:val="sl-SI"/>
              </w:rPr>
            </w:pPr>
          </w:p>
        </w:tc>
        <w:tc>
          <w:tcPr>
            <w:tcW w:w="913" w:type="dxa"/>
            <w:vAlign w:val="center"/>
          </w:tcPr>
          <w:p w14:paraId="160CDB4B" w14:textId="77777777" w:rsidR="00B152F3" w:rsidRPr="006D1761" w:rsidRDefault="00B152F3" w:rsidP="00B152F3">
            <w:pPr>
              <w:widowControl w:val="0"/>
              <w:jc w:val="center"/>
              <w:rPr>
                <w:rFonts w:cs="Arial"/>
                <w:szCs w:val="20"/>
                <w:lang w:val="sl-SI"/>
              </w:rPr>
            </w:pPr>
          </w:p>
        </w:tc>
        <w:tc>
          <w:tcPr>
            <w:tcW w:w="1371" w:type="dxa"/>
            <w:gridSpan w:val="5"/>
            <w:vAlign w:val="center"/>
          </w:tcPr>
          <w:p w14:paraId="06458BDE" w14:textId="77777777" w:rsidR="00B152F3" w:rsidRPr="006D1761" w:rsidRDefault="00B152F3" w:rsidP="00B152F3">
            <w:pPr>
              <w:widowControl w:val="0"/>
              <w:jc w:val="center"/>
              <w:rPr>
                <w:rFonts w:cs="Arial"/>
                <w:szCs w:val="20"/>
                <w:lang w:val="sl-SI"/>
              </w:rPr>
            </w:pPr>
          </w:p>
        </w:tc>
        <w:tc>
          <w:tcPr>
            <w:tcW w:w="2194" w:type="dxa"/>
            <w:vAlign w:val="center"/>
          </w:tcPr>
          <w:p w14:paraId="3513646E" w14:textId="77777777" w:rsidR="00B152F3" w:rsidRPr="006D1761" w:rsidRDefault="00B152F3" w:rsidP="00B152F3">
            <w:pPr>
              <w:spacing w:line="240" w:lineRule="auto"/>
              <w:rPr>
                <w:rFonts w:cs="Arial"/>
                <w:szCs w:val="20"/>
                <w:lang w:val="sl-SI"/>
              </w:rPr>
            </w:pPr>
          </w:p>
        </w:tc>
      </w:tr>
      <w:tr w:rsidR="00B152F3" w:rsidRPr="006D1761" w14:paraId="7B345F07" w14:textId="77777777" w:rsidTr="00A23D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vAlign w:val="center"/>
          </w:tcPr>
          <w:p w14:paraId="684F8147" w14:textId="77777777" w:rsidR="00B152F3" w:rsidRPr="006D1761" w:rsidRDefault="00B152F3" w:rsidP="00B152F3">
            <w:pPr>
              <w:widowControl w:val="0"/>
              <w:rPr>
                <w:rFonts w:cs="Arial"/>
                <w:bCs/>
                <w:szCs w:val="20"/>
                <w:lang w:val="sl-SI"/>
              </w:rPr>
            </w:pPr>
            <w:r w:rsidRPr="006D1761">
              <w:rPr>
                <w:rFonts w:cs="Arial"/>
                <w:bCs/>
                <w:szCs w:val="20"/>
                <w:lang w:val="sl-SI"/>
              </w:rPr>
              <w:t>Predvideno povečanje (+) ali zmanjšanje (</w:t>
            </w:r>
            <w:r w:rsidRPr="006D1761">
              <w:rPr>
                <w:rFonts w:cs="Arial"/>
                <w:b/>
                <w:szCs w:val="20"/>
                <w:lang w:val="sl-SI"/>
              </w:rPr>
              <w:t>–</w:t>
            </w:r>
            <w:r w:rsidRPr="006D1761">
              <w:rPr>
                <w:rFonts w:cs="Arial"/>
                <w:bCs/>
                <w:szCs w:val="20"/>
                <w:lang w:val="sl-SI"/>
              </w:rPr>
              <w:t>) obveznosti za druga javnofinančna sredstva</w:t>
            </w:r>
          </w:p>
        </w:tc>
        <w:tc>
          <w:tcPr>
            <w:tcW w:w="1831" w:type="dxa"/>
            <w:gridSpan w:val="2"/>
            <w:vAlign w:val="center"/>
          </w:tcPr>
          <w:p w14:paraId="4D1F6499" w14:textId="77777777" w:rsidR="00B152F3" w:rsidRPr="006D1761" w:rsidRDefault="00B152F3" w:rsidP="00B152F3">
            <w:pPr>
              <w:widowControl w:val="0"/>
              <w:tabs>
                <w:tab w:val="left" w:pos="360"/>
              </w:tabs>
              <w:jc w:val="center"/>
              <w:outlineLvl w:val="0"/>
              <w:rPr>
                <w:rFonts w:cs="Arial"/>
                <w:bCs/>
                <w:kern w:val="32"/>
                <w:szCs w:val="20"/>
                <w:lang w:val="sl-SI" w:eastAsia="sl-SI"/>
              </w:rPr>
            </w:pPr>
          </w:p>
        </w:tc>
        <w:tc>
          <w:tcPr>
            <w:tcW w:w="913" w:type="dxa"/>
            <w:vAlign w:val="center"/>
          </w:tcPr>
          <w:p w14:paraId="48631953" w14:textId="77777777" w:rsidR="00B152F3" w:rsidRPr="006D1761" w:rsidRDefault="00B152F3" w:rsidP="00B152F3">
            <w:pPr>
              <w:widowControl w:val="0"/>
              <w:tabs>
                <w:tab w:val="left" w:pos="360"/>
              </w:tabs>
              <w:jc w:val="center"/>
              <w:outlineLvl w:val="0"/>
              <w:rPr>
                <w:rFonts w:cs="Arial"/>
                <w:bCs/>
                <w:kern w:val="32"/>
                <w:szCs w:val="20"/>
                <w:lang w:val="sl-SI" w:eastAsia="sl-SI"/>
              </w:rPr>
            </w:pPr>
          </w:p>
        </w:tc>
        <w:tc>
          <w:tcPr>
            <w:tcW w:w="1371" w:type="dxa"/>
            <w:gridSpan w:val="5"/>
            <w:vAlign w:val="center"/>
          </w:tcPr>
          <w:p w14:paraId="1CCF5388" w14:textId="77777777" w:rsidR="00B152F3" w:rsidRPr="006D1761" w:rsidRDefault="00B152F3" w:rsidP="00B152F3">
            <w:pPr>
              <w:widowControl w:val="0"/>
              <w:tabs>
                <w:tab w:val="left" w:pos="360"/>
              </w:tabs>
              <w:jc w:val="center"/>
              <w:outlineLvl w:val="0"/>
              <w:rPr>
                <w:rFonts w:cs="Arial"/>
                <w:kern w:val="32"/>
                <w:szCs w:val="20"/>
                <w:lang w:val="sl-SI" w:eastAsia="sl-SI"/>
              </w:rPr>
            </w:pPr>
          </w:p>
        </w:tc>
        <w:tc>
          <w:tcPr>
            <w:tcW w:w="2194" w:type="dxa"/>
            <w:vAlign w:val="center"/>
          </w:tcPr>
          <w:p w14:paraId="58C43BBB" w14:textId="77777777" w:rsidR="00B152F3" w:rsidRPr="006D1761" w:rsidRDefault="00B152F3" w:rsidP="00B152F3">
            <w:pPr>
              <w:spacing w:line="240" w:lineRule="auto"/>
              <w:rPr>
                <w:rFonts w:cs="Arial"/>
                <w:kern w:val="32"/>
                <w:szCs w:val="20"/>
                <w:lang w:val="sl-SI" w:eastAsia="sl-SI"/>
              </w:rPr>
            </w:pPr>
          </w:p>
        </w:tc>
      </w:tr>
      <w:tr w:rsidR="00B152F3" w:rsidRPr="00804BB9" w14:paraId="4D7856AF" w14:textId="77777777" w:rsidTr="00DD77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9166" w:type="dxa"/>
            <w:gridSpan w:val="12"/>
            <w:shd w:val="clear" w:color="auto" w:fill="D9D9D9"/>
            <w:vAlign w:val="center"/>
          </w:tcPr>
          <w:p w14:paraId="232E978A" w14:textId="77777777" w:rsidR="00B152F3" w:rsidRPr="006D1761" w:rsidRDefault="00B152F3" w:rsidP="00B152F3">
            <w:pPr>
              <w:spacing w:line="240" w:lineRule="auto"/>
              <w:rPr>
                <w:rFonts w:cs="Arial"/>
                <w:kern w:val="32"/>
                <w:szCs w:val="20"/>
                <w:lang w:val="sl-SI" w:eastAsia="sl-SI"/>
              </w:rPr>
            </w:pPr>
            <w:r w:rsidRPr="006D1761">
              <w:rPr>
                <w:rFonts w:cs="Arial"/>
                <w:b/>
                <w:kern w:val="32"/>
                <w:szCs w:val="20"/>
                <w:lang w:val="sl-SI" w:eastAsia="sl-SI"/>
              </w:rPr>
              <w:t>II. Finančne posledice za državni proračun</w:t>
            </w:r>
          </w:p>
        </w:tc>
      </w:tr>
      <w:tr w:rsidR="00B152F3" w:rsidRPr="00804BB9" w14:paraId="1A174150" w14:textId="77777777" w:rsidTr="00DD77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9166" w:type="dxa"/>
            <w:gridSpan w:val="12"/>
            <w:shd w:val="clear" w:color="auto" w:fill="D9D9D9"/>
            <w:vAlign w:val="center"/>
          </w:tcPr>
          <w:p w14:paraId="1CA25157" w14:textId="77777777" w:rsidR="00B152F3" w:rsidRPr="006D1761" w:rsidRDefault="00B152F3" w:rsidP="00B152F3">
            <w:pPr>
              <w:spacing w:line="240" w:lineRule="auto"/>
              <w:rPr>
                <w:rFonts w:cs="Arial"/>
                <w:b/>
                <w:kern w:val="32"/>
                <w:szCs w:val="20"/>
                <w:lang w:val="sl-SI" w:eastAsia="sl-SI"/>
              </w:rPr>
            </w:pPr>
            <w:bookmarkStart w:id="2" w:name="_Hlk71033855"/>
            <w:r w:rsidRPr="006D1761">
              <w:rPr>
                <w:rFonts w:cs="Arial"/>
                <w:b/>
                <w:kern w:val="32"/>
                <w:szCs w:val="20"/>
                <w:lang w:val="sl-SI" w:eastAsia="sl-SI"/>
              </w:rPr>
              <w:t>II.a Pravice porabe za izvedbo predlaganih rešitev so zagotovljene:</w:t>
            </w:r>
          </w:p>
        </w:tc>
      </w:tr>
      <w:tr w:rsidR="00B152F3" w:rsidRPr="006D1761" w14:paraId="2E50E42E" w14:textId="77777777" w:rsidTr="00A23D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965" w:type="dxa"/>
            <w:gridSpan w:val="2"/>
            <w:vAlign w:val="center"/>
          </w:tcPr>
          <w:p w14:paraId="09315137" w14:textId="77777777" w:rsidR="00B152F3" w:rsidRPr="006D1761" w:rsidRDefault="00B152F3" w:rsidP="00B152F3">
            <w:pPr>
              <w:widowControl w:val="0"/>
              <w:jc w:val="center"/>
              <w:rPr>
                <w:rFonts w:cs="Arial"/>
                <w:szCs w:val="20"/>
                <w:lang w:val="sl-SI"/>
              </w:rPr>
            </w:pPr>
            <w:r w:rsidRPr="006D1761">
              <w:rPr>
                <w:rFonts w:cs="Arial"/>
                <w:szCs w:val="20"/>
                <w:lang w:val="sl-SI"/>
              </w:rPr>
              <w:t xml:space="preserve">Ime proračunskega uporabnika </w:t>
            </w:r>
          </w:p>
        </w:tc>
        <w:tc>
          <w:tcPr>
            <w:tcW w:w="2306" w:type="dxa"/>
            <w:gridSpan w:val="2"/>
            <w:vAlign w:val="center"/>
          </w:tcPr>
          <w:p w14:paraId="44055278" w14:textId="77777777" w:rsidR="00B152F3" w:rsidRPr="006D1761" w:rsidRDefault="00B152F3" w:rsidP="00B152F3">
            <w:pPr>
              <w:widowControl w:val="0"/>
              <w:jc w:val="center"/>
              <w:rPr>
                <w:rFonts w:cs="Arial"/>
                <w:szCs w:val="20"/>
                <w:lang w:val="sl-SI"/>
              </w:rPr>
            </w:pPr>
            <w:r w:rsidRPr="006D1761">
              <w:rPr>
                <w:rFonts w:cs="Arial"/>
                <w:szCs w:val="20"/>
                <w:lang w:val="sl-SI"/>
              </w:rPr>
              <w:t>Šifra in naziv ukrepa, projekta</w:t>
            </w:r>
          </w:p>
        </w:tc>
        <w:tc>
          <w:tcPr>
            <w:tcW w:w="1330" w:type="dxa"/>
            <w:gridSpan w:val="2"/>
            <w:vAlign w:val="center"/>
          </w:tcPr>
          <w:p w14:paraId="1B3994DF" w14:textId="77777777" w:rsidR="00B152F3" w:rsidRPr="006D1761" w:rsidRDefault="00B152F3" w:rsidP="00B152F3">
            <w:pPr>
              <w:widowControl w:val="0"/>
              <w:jc w:val="center"/>
              <w:rPr>
                <w:rFonts w:cs="Arial"/>
                <w:szCs w:val="20"/>
                <w:lang w:val="sl-SI"/>
              </w:rPr>
            </w:pPr>
            <w:r w:rsidRPr="006D1761">
              <w:rPr>
                <w:rFonts w:cs="Arial"/>
                <w:szCs w:val="20"/>
                <w:lang w:val="sl-SI"/>
              </w:rPr>
              <w:t>Šifra in naziv proračunske postavke</w:t>
            </w:r>
          </w:p>
        </w:tc>
        <w:tc>
          <w:tcPr>
            <w:tcW w:w="1371" w:type="dxa"/>
            <w:gridSpan w:val="5"/>
            <w:vAlign w:val="center"/>
          </w:tcPr>
          <w:p w14:paraId="0B10E93C" w14:textId="77777777" w:rsidR="00B152F3" w:rsidRPr="006D1761" w:rsidRDefault="00B152F3" w:rsidP="00B152F3">
            <w:pPr>
              <w:widowControl w:val="0"/>
              <w:jc w:val="center"/>
              <w:rPr>
                <w:rFonts w:cs="Arial"/>
                <w:szCs w:val="20"/>
                <w:lang w:val="sl-SI"/>
              </w:rPr>
            </w:pPr>
            <w:r w:rsidRPr="006D1761">
              <w:rPr>
                <w:rFonts w:cs="Arial"/>
                <w:szCs w:val="20"/>
                <w:lang w:val="sl-SI"/>
              </w:rPr>
              <w:t>Znesek za tekoče leto (t)</w:t>
            </w:r>
          </w:p>
        </w:tc>
        <w:tc>
          <w:tcPr>
            <w:tcW w:w="2194" w:type="dxa"/>
            <w:vAlign w:val="center"/>
          </w:tcPr>
          <w:p w14:paraId="22D05B72" w14:textId="77777777" w:rsidR="00B152F3" w:rsidRPr="006D1761" w:rsidRDefault="00B152F3" w:rsidP="00B152F3">
            <w:pPr>
              <w:spacing w:line="240" w:lineRule="auto"/>
              <w:jc w:val="center"/>
              <w:rPr>
                <w:rFonts w:cs="Arial"/>
                <w:szCs w:val="20"/>
                <w:lang w:val="sl-SI"/>
              </w:rPr>
            </w:pPr>
            <w:r w:rsidRPr="006D1761">
              <w:rPr>
                <w:rFonts w:cs="Arial"/>
                <w:szCs w:val="20"/>
                <w:lang w:val="sl-SI"/>
              </w:rPr>
              <w:t>Znesek za t + 1</w:t>
            </w:r>
          </w:p>
        </w:tc>
      </w:tr>
      <w:tr w:rsidR="00B152F3" w:rsidRPr="006D1761" w14:paraId="172CC70C" w14:textId="77777777" w:rsidTr="00A23D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28"/>
        </w:trPr>
        <w:tc>
          <w:tcPr>
            <w:tcW w:w="1965" w:type="dxa"/>
            <w:gridSpan w:val="2"/>
            <w:vAlign w:val="center"/>
          </w:tcPr>
          <w:p w14:paraId="704E824A" w14:textId="4CFE62DE" w:rsidR="00B152F3" w:rsidRPr="006D1761" w:rsidRDefault="00B152F3" w:rsidP="0075270B">
            <w:pPr>
              <w:widowControl w:val="0"/>
              <w:tabs>
                <w:tab w:val="left" w:pos="360"/>
              </w:tabs>
              <w:jc w:val="center"/>
              <w:outlineLvl w:val="0"/>
              <w:rPr>
                <w:rFonts w:cs="Arial"/>
                <w:bCs/>
                <w:kern w:val="32"/>
                <w:szCs w:val="20"/>
                <w:lang w:val="sl-SI" w:eastAsia="sl-SI"/>
              </w:rPr>
            </w:pPr>
          </w:p>
        </w:tc>
        <w:tc>
          <w:tcPr>
            <w:tcW w:w="2306" w:type="dxa"/>
            <w:gridSpan w:val="2"/>
            <w:vAlign w:val="center"/>
          </w:tcPr>
          <w:p w14:paraId="0EE938F6" w14:textId="02FE2B5E" w:rsidR="00B152F3" w:rsidRPr="006D1761" w:rsidRDefault="00B152F3" w:rsidP="0075270B">
            <w:pPr>
              <w:widowControl w:val="0"/>
              <w:tabs>
                <w:tab w:val="left" w:pos="360"/>
              </w:tabs>
              <w:jc w:val="center"/>
              <w:outlineLvl w:val="0"/>
              <w:rPr>
                <w:rFonts w:cs="Arial"/>
                <w:bCs/>
                <w:kern w:val="32"/>
                <w:szCs w:val="20"/>
                <w:lang w:val="sl-SI" w:eastAsia="sl-SI"/>
              </w:rPr>
            </w:pPr>
          </w:p>
        </w:tc>
        <w:tc>
          <w:tcPr>
            <w:tcW w:w="1330" w:type="dxa"/>
            <w:gridSpan w:val="2"/>
            <w:vAlign w:val="center"/>
          </w:tcPr>
          <w:p w14:paraId="243AF462" w14:textId="337AA44F" w:rsidR="00B152F3" w:rsidRPr="006D1761" w:rsidRDefault="00B152F3" w:rsidP="0075270B">
            <w:pPr>
              <w:widowControl w:val="0"/>
              <w:tabs>
                <w:tab w:val="left" w:pos="360"/>
              </w:tabs>
              <w:jc w:val="center"/>
              <w:outlineLvl w:val="0"/>
              <w:rPr>
                <w:rFonts w:cs="Arial"/>
                <w:bCs/>
                <w:kern w:val="32"/>
                <w:szCs w:val="20"/>
                <w:lang w:val="sl-SI" w:eastAsia="sl-SI"/>
              </w:rPr>
            </w:pPr>
          </w:p>
        </w:tc>
        <w:tc>
          <w:tcPr>
            <w:tcW w:w="1371" w:type="dxa"/>
            <w:gridSpan w:val="5"/>
            <w:vAlign w:val="center"/>
          </w:tcPr>
          <w:p w14:paraId="04BE243A" w14:textId="6BD25F41" w:rsidR="00B152F3" w:rsidRPr="006D1761" w:rsidRDefault="00B152F3" w:rsidP="0075270B">
            <w:pPr>
              <w:widowControl w:val="0"/>
              <w:tabs>
                <w:tab w:val="left" w:pos="360"/>
              </w:tabs>
              <w:jc w:val="center"/>
              <w:outlineLvl w:val="0"/>
              <w:rPr>
                <w:rFonts w:cs="Arial"/>
                <w:bCs/>
                <w:kern w:val="32"/>
                <w:szCs w:val="20"/>
                <w:lang w:val="sl-SI" w:eastAsia="sl-SI"/>
              </w:rPr>
            </w:pPr>
          </w:p>
        </w:tc>
        <w:tc>
          <w:tcPr>
            <w:tcW w:w="2194" w:type="dxa"/>
            <w:vAlign w:val="center"/>
          </w:tcPr>
          <w:p w14:paraId="0D8089A2" w14:textId="009D43F8" w:rsidR="00B152F3" w:rsidRPr="006D1761" w:rsidRDefault="00B152F3" w:rsidP="0075270B">
            <w:pPr>
              <w:spacing w:line="240" w:lineRule="auto"/>
              <w:jc w:val="center"/>
              <w:rPr>
                <w:rFonts w:cs="Arial"/>
                <w:bCs/>
                <w:kern w:val="32"/>
                <w:szCs w:val="20"/>
                <w:lang w:val="sl-SI" w:eastAsia="sl-SI"/>
              </w:rPr>
            </w:pPr>
          </w:p>
        </w:tc>
      </w:tr>
      <w:tr w:rsidR="00B152F3" w:rsidRPr="006D1761" w14:paraId="26A3475C" w14:textId="77777777" w:rsidTr="00A23D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28"/>
        </w:trPr>
        <w:tc>
          <w:tcPr>
            <w:tcW w:w="1965" w:type="dxa"/>
            <w:gridSpan w:val="2"/>
            <w:vAlign w:val="center"/>
          </w:tcPr>
          <w:p w14:paraId="2BDCDDDE" w14:textId="77777777" w:rsidR="00B152F3" w:rsidRPr="006D1761" w:rsidRDefault="00B152F3" w:rsidP="00B152F3">
            <w:pPr>
              <w:widowControl w:val="0"/>
              <w:tabs>
                <w:tab w:val="left" w:pos="360"/>
              </w:tabs>
              <w:outlineLvl w:val="0"/>
              <w:rPr>
                <w:rFonts w:cs="Arial"/>
                <w:bCs/>
                <w:strike/>
                <w:kern w:val="32"/>
                <w:szCs w:val="20"/>
                <w:lang w:val="sl-SI" w:eastAsia="sl-SI"/>
              </w:rPr>
            </w:pPr>
          </w:p>
        </w:tc>
        <w:tc>
          <w:tcPr>
            <w:tcW w:w="2306" w:type="dxa"/>
            <w:gridSpan w:val="2"/>
            <w:vAlign w:val="center"/>
          </w:tcPr>
          <w:p w14:paraId="53386490" w14:textId="77777777" w:rsidR="00B152F3" w:rsidRPr="006D1761" w:rsidRDefault="00B152F3" w:rsidP="00B152F3">
            <w:pPr>
              <w:widowControl w:val="0"/>
              <w:tabs>
                <w:tab w:val="left" w:pos="360"/>
              </w:tabs>
              <w:outlineLvl w:val="0"/>
              <w:rPr>
                <w:rFonts w:cs="Arial"/>
                <w:bCs/>
                <w:strike/>
                <w:kern w:val="32"/>
                <w:szCs w:val="20"/>
                <w:lang w:val="sl-SI" w:eastAsia="sl-SI"/>
              </w:rPr>
            </w:pPr>
          </w:p>
        </w:tc>
        <w:tc>
          <w:tcPr>
            <w:tcW w:w="1330" w:type="dxa"/>
            <w:gridSpan w:val="2"/>
            <w:vAlign w:val="center"/>
          </w:tcPr>
          <w:p w14:paraId="3576DD20" w14:textId="77777777" w:rsidR="00B152F3" w:rsidRPr="006D1761" w:rsidRDefault="00B152F3" w:rsidP="00B152F3">
            <w:pPr>
              <w:widowControl w:val="0"/>
              <w:tabs>
                <w:tab w:val="left" w:pos="360"/>
              </w:tabs>
              <w:outlineLvl w:val="0"/>
              <w:rPr>
                <w:rFonts w:cs="Arial"/>
                <w:bCs/>
                <w:strike/>
                <w:kern w:val="32"/>
                <w:szCs w:val="20"/>
                <w:lang w:val="sl-SI" w:eastAsia="sl-SI"/>
              </w:rPr>
            </w:pPr>
          </w:p>
        </w:tc>
        <w:tc>
          <w:tcPr>
            <w:tcW w:w="1371" w:type="dxa"/>
            <w:gridSpan w:val="5"/>
            <w:vAlign w:val="center"/>
          </w:tcPr>
          <w:p w14:paraId="2C0DF549" w14:textId="77777777" w:rsidR="00B152F3" w:rsidRPr="006D1761" w:rsidRDefault="00B152F3" w:rsidP="00B152F3">
            <w:pPr>
              <w:widowControl w:val="0"/>
              <w:tabs>
                <w:tab w:val="left" w:pos="360"/>
              </w:tabs>
              <w:outlineLvl w:val="0"/>
              <w:rPr>
                <w:rFonts w:cs="Arial"/>
                <w:bCs/>
                <w:strike/>
                <w:kern w:val="32"/>
                <w:szCs w:val="20"/>
                <w:lang w:val="sl-SI" w:eastAsia="sl-SI"/>
              </w:rPr>
            </w:pPr>
          </w:p>
        </w:tc>
        <w:tc>
          <w:tcPr>
            <w:tcW w:w="2194" w:type="dxa"/>
            <w:vAlign w:val="center"/>
          </w:tcPr>
          <w:p w14:paraId="2E87B123" w14:textId="77777777" w:rsidR="00B152F3" w:rsidRPr="006D1761" w:rsidRDefault="00B152F3" w:rsidP="00B152F3">
            <w:pPr>
              <w:spacing w:line="240" w:lineRule="auto"/>
              <w:rPr>
                <w:rFonts w:cs="Arial"/>
                <w:bCs/>
                <w:strike/>
                <w:kern w:val="32"/>
                <w:szCs w:val="20"/>
                <w:lang w:val="sl-SI" w:eastAsia="sl-SI"/>
              </w:rPr>
            </w:pPr>
          </w:p>
        </w:tc>
      </w:tr>
      <w:tr w:rsidR="00B152F3" w:rsidRPr="006D1761" w14:paraId="43234FEC" w14:textId="77777777" w:rsidTr="00A23D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28"/>
        </w:trPr>
        <w:tc>
          <w:tcPr>
            <w:tcW w:w="5601" w:type="dxa"/>
            <w:gridSpan w:val="6"/>
            <w:vAlign w:val="center"/>
          </w:tcPr>
          <w:p w14:paraId="60F55E60" w14:textId="77777777" w:rsidR="00B152F3" w:rsidRPr="006D1761" w:rsidRDefault="00B152F3" w:rsidP="00B152F3">
            <w:pPr>
              <w:widowControl w:val="0"/>
              <w:tabs>
                <w:tab w:val="left" w:pos="360"/>
              </w:tabs>
              <w:outlineLvl w:val="0"/>
              <w:rPr>
                <w:rFonts w:cs="Arial"/>
                <w:bCs/>
                <w:strike/>
                <w:kern w:val="32"/>
                <w:szCs w:val="20"/>
                <w:lang w:val="sl-SI" w:eastAsia="sl-SI"/>
              </w:rPr>
            </w:pPr>
            <w:r w:rsidRPr="006D1761">
              <w:rPr>
                <w:rFonts w:cs="Arial"/>
                <w:b/>
                <w:kern w:val="32"/>
                <w:szCs w:val="20"/>
                <w:lang w:val="sl-SI" w:eastAsia="sl-SI"/>
              </w:rPr>
              <w:t>SKUPAJ</w:t>
            </w:r>
          </w:p>
        </w:tc>
        <w:tc>
          <w:tcPr>
            <w:tcW w:w="1371" w:type="dxa"/>
            <w:gridSpan w:val="5"/>
            <w:vAlign w:val="center"/>
          </w:tcPr>
          <w:p w14:paraId="40326D6E" w14:textId="77777777" w:rsidR="00B152F3" w:rsidRPr="006D1761" w:rsidRDefault="00B152F3" w:rsidP="00B152F3">
            <w:pPr>
              <w:widowControl w:val="0"/>
              <w:tabs>
                <w:tab w:val="left" w:pos="360"/>
              </w:tabs>
              <w:outlineLvl w:val="0"/>
              <w:rPr>
                <w:rFonts w:cs="Arial"/>
                <w:bCs/>
                <w:strike/>
                <w:kern w:val="32"/>
                <w:szCs w:val="20"/>
                <w:lang w:val="sl-SI" w:eastAsia="sl-SI"/>
              </w:rPr>
            </w:pPr>
          </w:p>
        </w:tc>
        <w:tc>
          <w:tcPr>
            <w:tcW w:w="2194" w:type="dxa"/>
            <w:vAlign w:val="center"/>
          </w:tcPr>
          <w:p w14:paraId="699CE5A8" w14:textId="77777777" w:rsidR="00B152F3" w:rsidRPr="006D1761" w:rsidRDefault="00B152F3" w:rsidP="00B152F3">
            <w:pPr>
              <w:spacing w:line="240" w:lineRule="auto"/>
              <w:rPr>
                <w:rFonts w:cs="Arial"/>
                <w:bCs/>
                <w:strike/>
                <w:kern w:val="32"/>
                <w:szCs w:val="20"/>
                <w:lang w:val="sl-SI" w:eastAsia="sl-SI"/>
              </w:rPr>
            </w:pPr>
          </w:p>
        </w:tc>
      </w:tr>
      <w:bookmarkEnd w:id="2"/>
      <w:tr w:rsidR="00B152F3" w:rsidRPr="006D1761" w14:paraId="5D66D4DD" w14:textId="77777777" w:rsidTr="00DD77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9166" w:type="dxa"/>
            <w:gridSpan w:val="12"/>
            <w:shd w:val="clear" w:color="auto" w:fill="D9D9D9"/>
            <w:vAlign w:val="center"/>
          </w:tcPr>
          <w:p w14:paraId="3CBDEE2C" w14:textId="77777777" w:rsidR="00B152F3" w:rsidRPr="006D1761" w:rsidRDefault="00B152F3" w:rsidP="00152628">
            <w:pPr>
              <w:spacing w:line="240" w:lineRule="auto"/>
              <w:rPr>
                <w:rFonts w:cs="Arial"/>
                <w:b/>
                <w:kern w:val="32"/>
                <w:szCs w:val="20"/>
                <w:lang w:val="sl-SI" w:eastAsia="sl-SI"/>
              </w:rPr>
            </w:pPr>
            <w:r w:rsidRPr="006D1761">
              <w:rPr>
                <w:rFonts w:cs="Arial"/>
                <w:b/>
                <w:kern w:val="32"/>
                <w:szCs w:val="20"/>
                <w:lang w:val="sl-SI" w:eastAsia="sl-SI"/>
              </w:rPr>
              <w:t>II.b Manjkajoče pravice porabe bodo zagotovljene s prerazporeditvijo:</w:t>
            </w:r>
          </w:p>
        </w:tc>
      </w:tr>
      <w:tr w:rsidR="00B152F3" w:rsidRPr="006D1761" w14:paraId="585834C6" w14:textId="77777777" w:rsidTr="00A23D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965" w:type="dxa"/>
            <w:gridSpan w:val="2"/>
            <w:vAlign w:val="center"/>
          </w:tcPr>
          <w:p w14:paraId="4D011C0B" w14:textId="77777777" w:rsidR="00B152F3" w:rsidRPr="006D1761" w:rsidRDefault="00B152F3" w:rsidP="00B152F3">
            <w:pPr>
              <w:widowControl w:val="0"/>
              <w:jc w:val="center"/>
              <w:rPr>
                <w:rFonts w:cs="Arial"/>
                <w:szCs w:val="20"/>
                <w:lang w:val="sl-SI"/>
              </w:rPr>
            </w:pPr>
            <w:r w:rsidRPr="006D1761">
              <w:rPr>
                <w:rFonts w:cs="Arial"/>
                <w:szCs w:val="20"/>
                <w:lang w:val="sl-SI"/>
              </w:rPr>
              <w:t xml:space="preserve">Ime proračunskega uporabnika </w:t>
            </w:r>
          </w:p>
        </w:tc>
        <w:tc>
          <w:tcPr>
            <w:tcW w:w="2306" w:type="dxa"/>
            <w:gridSpan w:val="2"/>
            <w:vAlign w:val="center"/>
          </w:tcPr>
          <w:p w14:paraId="3E9DB234" w14:textId="77777777" w:rsidR="00B152F3" w:rsidRPr="006D1761" w:rsidRDefault="00B152F3" w:rsidP="00B152F3">
            <w:pPr>
              <w:widowControl w:val="0"/>
              <w:jc w:val="center"/>
              <w:rPr>
                <w:rFonts w:cs="Arial"/>
                <w:szCs w:val="20"/>
                <w:lang w:val="sl-SI"/>
              </w:rPr>
            </w:pPr>
            <w:r w:rsidRPr="006D1761">
              <w:rPr>
                <w:rFonts w:cs="Arial"/>
                <w:szCs w:val="20"/>
                <w:lang w:val="sl-SI"/>
              </w:rPr>
              <w:t>Šifra in naziv ukrepa, projekta</w:t>
            </w:r>
          </w:p>
        </w:tc>
        <w:tc>
          <w:tcPr>
            <w:tcW w:w="1330" w:type="dxa"/>
            <w:gridSpan w:val="2"/>
            <w:vAlign w:val="center"/>
          </w:tcPr>
          <w:p w14:paraId="42CA576C" w14:textId="77777777" w:rsidR="00B152F3" w:rsidRPr="006D1761" w:rsidRDefault="00B152F3" w:rsidP="00B152F3">
            <w:pPr>
              <w:widowControl w:val="0"/>
              <w:jc w:val="center"/>
              <w:rPr>
                <w:rFonts w:cs="Arial"/>
                <w:szCs w:val="20"/>
                <w:lang w:val="sl-SI"/>
              </w:rPr>
            </w:pPr>
            <w:r w:rsidRPr="006D1761">
              <w:rPr>
                <w:rFonts w:cs="Arial"/>
                <w:szCs w:val="20"/>
                <w:lang w:val="sl-SI"/>
              </w:rPr>
              <w:t xml:space="preserve">Šifra in naziv proračunske postavke </w:t>
            </w:r>
          </w:p>
        </w:tc>
        <w:tc>
          <w:tcPr>
            <w:tcW w:w="1371" w:type="dxa"/>
            <w:gridSpan w:val="5"/>
            <w:vAlign w:val="center"/>
          </w:tcPr>
          <w:p w14:paraId="67889E9A" w14:textId="77777777" w:rsidR="00B152F3" w:rsidRPr="006D1761" w:rsidRDefault="00B152F3" w:rsidP="00B152F3">
            <w:pPr>
              <w:widowControl w:val="0"/>
              <w:jc w:val="center"/>
              <w:rPr>
                <w:rFonts w:cs="Arial"/>
                <w:szCs w:val="20"/>
                <w:lang w:val="sl-SI"/>
              </w:rPr>
            </w:pPr>
            <w:r w:rsidRPr="006D1761">
              <w:rPr>
                <w:rFonts w:cs="Arial"/>
                <w:szCs w:val="20"/>
                <w:lang w:val="sl-SI"/>
              </w:rPr>
              <w:t>Znesek za tekoče leto (t)</w:t>
            </w:r>
          </w:p>
        </w:tc>
        <w:tc>
          <w:tcPr>
            <w:tcW w:w="2194" w:type="dxa"/>
            <w:vAlign w:val="center"/>
          </w:tcPr>
          <w:p w14:paraId="7F396803" w14:textId="77777777" w:rsidR="00B152F3" w:rsidRPr="006D1761" w:rsidRDefault="00B152F3" w:rsidP="00B152F3">
            <w:pPr>
              <w:spacing w:line="240" w:lineRule="auto"/>
              <w:jc w:val="center"/>
              <w:rPr>
                <w:rFonts w:cs="Arial"/>
                <w:szCs w:val="20"/>
                <w:lang w:val="sl-SI"/>
              </w:rPr>
            </w:pPr>
            <w:r w:rsidRPr="006D1761">
              <w:rPr>
                <w:rFonts w:cs="Arial"/>
                <w:szCs w:val="20"/>
                <w:lang w:val="sl-SI"/>
              </w:rPr>
              <w:t>Znesek za t + 1</w:t>
            </w:r>
          </w:p>
        </w:tc>
      </w:tr>
      <w:tr w:rsidR="00B152F3" w:rsidRPr="006D1761" w14:paraId="3A877522" w14:textId="77777777" w:rsidTr="00A23D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65" w:type="dxa"/>
            <w:gridSpan w:val="2"/>
            <w:vAlign w:val="center"/>
          </w:tcPr>
          <w:p w14:paraId="4AED692B" w14:textId="77777777" w:rsidR="00B152F3" w:rsidRPr="006D1761" w:rsidRDefault="00B152F3" w:rsidP="00B152F3">
            <w:pPr>
              <w:widowControl w:val="0"/>
              <w:tabs>
                <w:tab w:val="left" w:pos="360"/>
              </w:tabs>
              <w:outlineLvl w:val="0"/>
              <w:rPr>
                <w:rFonts w:cs="Arial"/>
                <w:bCs/>
                <w:kern w:val="32"/>
                <w:szCs w:val="20"/>
                <w:lang w:val="sl-SI" w:eastAsia="sl-SI"/>
              </w:rPr>
            </w:pPr>
          </w:p>
        </w:tc>
        <w:tc>
          <w:tcPr>
            <w:tcW w:w="2306" w:type="dxa"/>
            <w:gridSpan w:val="2"/>
            <w:vAlign w:val="center"/>
          </w:tcPr>
          <w:p w14:paraId="10E87D47" w14:textId="77777777" w:rsidR="00B152F3" w:rsidRPr="006D1761" w:rsidRDefault="00B152F3" w:rsidP="00B152F3">
            <w:pPr>
              <w:widowControl w:val="0"/>
              <w:tabs>
                <w:tab w:val="left" w:pos="360"/>
              </w:tabs>
              <w:outlineLvl w:val="0"/>
              <w:rPr>
                <w:rFonts w:cs="Arial"/>
                <w:bCs/>
                <w:kern w:val="32"/>
                <w:szCs w:val="20"/>
                <w:lang w:val="sl-SI" w:eastAsia="sl-SI"/>
              </w:rPr>
            </w:pPr>
          </w:p>
        </w:tc>
        <w:tc>
          <w:tcPr>
            <w:tcW w:w="1330" w:type="dxa"/>
            <w:gridSpan w:val="2"/>
            <w:vAlign w:val="center"/>
          </w:tcPr>
          <w:p w14:paraId="421ABA6D" w14:textId="77777777" w:rsidR="00B152F3" w:rsidRPr="006D1761" w:rsidRDefault="00B152F3" w:rsidP="00B152F3">
            <w:pPr>
              <w:widowControl w:val="0"/>
              <w:tabs>
                <w:tab w:val="left" w:pos="360"/>
              </w:tabs>
              <w:outlineLvl w:val="0"/>
              <w:rPr>
                <w:rFonts w:cs="Arial"/>
                <w:bCs/>
                <w:kern w:val="32"/>
                <w:szCs w:val="20"/>
                <w:lang w:val="sl-SI" w:eastAsia="sl-SI"/>
              </w:rPr>
            </w:pPr>
          </w:p>
        </w:tc>
        <w:tc>
          <w:tcPr>
            <w:tcW w:w="1371" w:type="dxa"/>
            <w:gridSpan w:val="5"/>
            <w:vAlign w:val="center"/>
          </w:tcPr>
          <w:p w14:paraId="166EB2D4" w14:textId="77777777" w:rsidR="00B152F3" w:rsidRPr="006D1761" w:rsidRDefault="00B152F3" w:rsidP="00B152F3">
            <w:pPr>
              <w:widowControl w:val="0"/>
              <w:tabs>
                <w:tab w:val="left" w:pos="360"/>
              </w:tabs>
              <w:outlineLvl w:val="0"/>
              <w:rPr>
                <w:rFonts w:cs="Arial"/>
                <w:bCs/>
                <w:kern w:val="32"/>
                <w:szCs w:val="20"/>
                <w:lang w:val="sl-SI" w:eastAsia="sl-SI"/>
              </w:rPr>
            </w:pPr>
          </w:p>
        </w:tc>
        <w:tc>
          <w:tcPr>
            <w:tcW w:w="2194" w:type="dxa"/>
            <w:vAlign w:val="center"/>
          </w:tcPr>
          <w:p w14:paraId="2FCF3094" w14:textId="77777777" w:rsidR="00B152F3" w:rsidRPr="006D1761" w:rsidRDefault="00B152F3" w:rsidP="00B152F3">
            <w:pPr>
              <w:spacing w:line="240" w:lineRule="auto"/>
              <w:rPr>
                <w:rFonts w:cs="Arial"/>
                <w:bCs/>
                <w:kern w:val="32"/>
                <w:szCs w:val="20"/>
                <w:lang w:val="sl-SI" w:eastAsia="sl-SI"/>
              </w:rPr>
            </w:pPr>
          </w:p>
        </w:tc>
      </w:tr>
      <w:tr w:rsidR="00B152F3" w:rsidRPr="006D1761" w14:paraId="3E15E149" w14:textId="77777777" w:rsidTr="00A23D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65" w:type="dxa"/>
            <w:gridSpan w:val="2"/>
            <w:vAlign w:val="center"/>
          </w:tcPr>
          <w:p w14:paraId="79A56B3F" w14:textId="77777777" w:rsidR="00B152F3" w:rsidRPr="006D1761" w:rsidRDefault="00B152F3" w:rsidP="00B152F3">
            <w:pPr>
              <w:widowControl w:val="0"/>
              <w:tabs>
                <w:tab w:val="left" w:pos="360"/>
              </w:tabs>
              <w:outlineLvl w:val="0"/>
              <w:rPr>
                <w:rFonts w:cs="Arial"/>
                <w:bCs/>
                <w:kern w:val="32"/>
                <w:szCs w:val="20"/>
                <w:lang w:val="sl-SI" w:eastAsia="sl-SI"/>
              </w:rPr>
            </w:pPr>
          </w:p>
        </w:tc>
        <w:tc>
          <w:tcPr>
            <w:tcW w:w="2306" w:type="dxa"/>
            <w:gridSpan w:val="2"/>
            <w:vAlign w:val="center"/>
          </w:tcPr>
          <w:p w14:paraId="5A103E2E" w14:textId="77777777" w:rsidR="00B152F3" w:rsidRPr="006D1761" w:rsidRDefault="00B152F3" w:rsidP="00B152F3">
            <w:pPr>
              <w:widowControl w:val="0"/>
              <w:tabs>
                <w:tab w:val="left" w:pos="360"/>
              </w:tabs>
              <w:outlineLvl w:val="0"/>
              <w:rPr>
                <w:rFonts w:cs="Arial"/>
                <w:bCs/>
                <w:kern w:val="32"/>
                <w:szCs w:val="20"/>
                <w:lang w:val="sl-SI" w:eastAsia="sl-SI"/>
              </w:rPr>
            </w:pPr>
          </w:p>
        </w:tc>
        <w:tc>
          <w:tcPr>
            <w:tcW w:w="1330" w:type="dxa"/>
            <w:gridSpan w:val="2"/>
            <w:vAlign w:val="center"/>
          </w:tcPr>
          <w:p w14:paraId="3C2E52F0" w14:textId="77777777" w:rsidR="00B152F3" w:rsidRPr="006D1761" w:rsidRDefault="00B152F3" w:rsidP="00B152F3">
            <w:pPr>
              <w:widowControl w:val="0"/>
              <w:tabs>
                <w:tab w:val="left" w:pos="360"/>
              </w:tabs>
              <w:outlineLvl w:val="0"/>
              <w:rPr>
                <w:rFonts w:cs="Arial"/>
                <w:bCs/>
                <w:kern w:val="32"/>
                <w:szCs w:val="20"/>
                <w:lang w:val="sl-SI" w:eastAsia="sl-SI"/>
              </w:rPr>
            </w:pPr>
          </w:p>
        </w:tc>
        <w:tc>
          <w:tcPr>
            <w:tcW w:w="1371" w:type="dxa"/>
            <w:gridSpan w:val="5"/>
            <w:vAlign w:val="center"/>
          </w:tcPr>
          <w:p w14:paraId="58308E10" w14:textId="77777777" w:rsidR="00B152F3" w:rsidRPr="006D1761" w:rsidRDefault="00B152F3" w:rsidP="00B152F3">
            <w:pPr>
              <w:widowControl w:val="0"/>
              <w:tabs>
                <w:tab w:val="left" w:pos="360"/>
              </w:tabs>
              <w:outlineLvl w:val="0"/>
              <w:rPr>
                <w:rFonts w:cs="Arial"/>
                <w:bCs/>
                <w:kern w:val="32"/>
                <w:szCs w:val="20"/>
                <w:lang w:val="sl-SI" w:eastAsia="sl-SI"/>
              </w:rPr>
            </w:pPr>
          </w:p>
        </w:tc>
        <w:tc>
          <w:tcPr>
            <w:tcW w:w="2194" w:type="dxa"/>
            <w:vAlign w:val="center"/>
          </w:tcPr>
          <w:p w14:paraId="59C6E396" w14:textId="77777777" w:rsidR="00B152F3" w:rsidRPr="006D1761" w:rsidRDefault="00B152F3" w:rsidP="00B152F3">
            <w:pPr>
              <w:spacing w:line="240" w:lineRule="auto"/>
              <w:rPr>
                <w:rFonts w:cs="Arial"/>
                <w:bCs/>
                <w:kern w:val="32"/>
                <w:szCs w:val="20"/>
                <w:lang w:val="sl-SI" w:eastAsia="sl-SI"/>
              </w:rPr>
            </w:pPr>
          </w:p>
        </w:tc>
      </w:tr>
      <w:tr w:rsidR="00B152F3" w:rsidRPr="006D1761" w14:paraId="38250135" w14:textId="77777777" w:rsidTr="00A23D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601" w:type="dxa"/>
            <w:gridSpan w:val="6"/>
            <w:vAlign w:val="center"/>
          </w:tcPr>
          <w:p w14:paraId="687087A8" w14:textId="77777777" w:rsidR="00B152F3" w:rsidRPr="006D1761" w:rsidRDefault="00B152F3" w:rsidP="00B152F3">
            <w:pPr>
              <w:widowControl w:val="0"/>
              <w:tabs>
                <w:tab w:val="left" w:pos="360"/>
              </w:tabs>
              <w:outlineLvl w:val="0"/>
              <w:rPr>
                <w:rFonts w:cs="Arial"/>
                <w:bCs/>
                <w:kern w:val="32"/>
                <w:szCs w:val="20"/>
                <w:lang w:val="sl-SI" w:eastAsia="sl-SI"/>
              </w:rPr>
            </w:pPr>
            <w:r w:rsidRPr="006D1761">
              <w:rPr>
                <w:rFonts w:cs="Arial"/>
                <w:b/>
                <w:kern w:val="32"/>
                <w:szCs w:val="20"/>
                <w:lang w:val="sl-SI" w:eastAsia="sl-SI"/>
              </w:rPr>
              <w:t>SKUPAJ</w:t>
            </w:r>
          </w:p>
        </w:tc>
        <w:tc>
          <w:tcPr>
            <w:tcW w:w="1371" w:type="dxa"/>
            <w:gridSpan w:val="5"/>
            <w:vAlign w:val="center"/>
          </w:tcPr>
          <w:p w14:paraId="40112594" w14:textId="77777777" w:rsidR="00B152F3" w:rsidRPr="006D1761" w:rsidRDefault="00B152F3" w:rsidP="00B152F3">
            <w:pPr>
              <w:widowControl w:val="0"/>
              <w:tabs>
                <w:tab w:val="left" w:pos="360"/>
              </w:tabs>
              <w:outlineLvl w:val="0"/>
              <w:rPr>
                <w:rFonts w:cs="Arial"/>
                <w:bCs/>
                <w:kern w:val="32"/>
                <w:szCs w:val="20"/>
                <w:lang w:val="sl-SI" w:eastAsia="sl-SI"/>
              </w:rPr>
            </w:pPr>
          </w:p>
        </w:tc>
        <w:tc>
          <w:tcPr>
            <w:tcW w:w="2194" w:type="dxa"/>
            <w:vAlign w:val="center"/>
          </w:tcPr>
          <w:p w14:paraId="6CDB67AB" w14:textId="77777777" w:rsidR="00B152F3" w:rsidRPr="006D1761" w:rsidRDefault="00B152F3" w:rsidP="00B152F3">
            <w:pPr>
              <w:spacing w:line="240" w:lineRule="auto"/>
              <w:rPr>
                <w:rFonts w:cs="Arial"/>
                <w:bCs/>
                <w:kern w:val="32"/>
                <w:szCs w:val="20"/>
                <w:lang w:val="sl-SI" w:eastAsia="sl-SI"/>
              </w:rPr>
            </w:pPr>
          </w:p>
        </w:tc>
      </w:tr>
      <w:tr w:rsidR="00B152F3" w:rsidRPr="006D1761" w14:paraId="2F11E0CE" w14:textId="77777777" w:rsidTr="00DD77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9166" w:type="dxa"/>
            <w:gridSpan w:val="12"/>
            <w:shd w:val="clear" w:color="auto" w:fill="D9D9D9"/>
            <w:vAlign w:val="center"/>
          </w:tcPr>
          <w:p w14:paraId="7EAC3248" w14:textId="77777777" w:rsidR="00B152F3" w:rsidRPr="006D1761" w:rsidRDefault="00B152F3" w:rsidP="00152628">
            <w:pPr>
              <w:spacing w:line="240" w:lineRule="auto"/>
              <w:rPr>
                <w:rFonts w:cs="Arial"/>
                <w:b/>
                <w:kern w:val="32"/>
                <w:szCs w:val="20"/>
                <w:lang w:val="sl-SI" w:eastAsia="sl-SI"/>
              </w:rPr>
            </w:pPr>
            <w:r w:rsidRPr="006D1761">
              <w:rPr>
                <w:rFonts w:cs="Arial"/>
                <w:b/>
                <w:kern w:val="32"/>
                <w:szCs w:val="20"/>
                <w:lang w:val="sl-SI" w:eastAsia="sl-SI"/>
              </w:rPr>
              <w:t>II.c Načrtovana nadomestitev zmanjšanih prihodkov in povečanih odhodkov proračuna:</w:t>
            </w:r>
          </w:p>
        </w:tc>
      </w:tr>
      <w:tr w:rsidR="00B152F3" w:rsidRPr="006D1761" w14:paraId="656ADEE7" w14:textId="77777777" w:rsidTr="00A23D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4271" w:type="dxa"/>
            <w:gridSpan w:val="4"/>
            <w:vAlign w:val="center"/>
          </w:tcPr>
          <w:p w14:paraId="5BEA00FF" w14:textId="77777777" w:rsidR="00B152F3" w:rsidRPr="006D1761" w:rsidRDefault="00B152F3" w:rsidP="00B152F3">
            <w:pPr>
              <w:widowControl w:val="0"/>
              <w:ind w:left="-122" w:right="-112"/>
              <w:jc w:val="center"/>
              <w:rPr>
                <w:rFonts w:cs="Arial"/>
                <w:szCs w:val="20"/>
                <w:lang w:val="sl-SI"/>
              </w:rPr>
            </w:pPr>
            <w:r w:rsidRPr="006D1761">
              <w:rPr>
                <w:rFonts w:cs="Arial"/>
                <w:szCs w:val="20"/>
                <w:lang w:val="sl-SI"/>
              </w:rPr>
              <w:t>Novi prihodki</w:t>
            </w:r>
          </w:p>
        </w:tc>
        <w:tc>
          <w:tcPr>
            <w:tcW w:w="2013" w:type="dxa"/>
            <w:gridSpan w:val="4"/>
            <w:vAlign w:val="center"/>
          </w:tcPr>
          <w:p w14:paraId="3B351F63" w14:textId="77777777" w:rsidR="00B152F3" w:rsidRPr="006D1761" w:rsidRDefault="00B152F3" w:rsidP="00B152F3">
            <w:pPr>
              <w:widowControl w:val="0"/>
              <w:ind w:left="-122" w:right="-112"/>
              <w:jc w:val="center"/>
              <w:rPr>
                <w:rFonts w:cs="Arial"/>
                <w:szCs w:val="20"/>
                <w:lang w:val="sl-SI"/>
              </w:rPr>
            </w:pPr>
            <w:r w:rsidRPr="006D1761">
              <w:rPr>
                <w:rFonts w:cs="Arial"/>
                <w:szCs w:val="20"/>
                <w:lang w:val="sl-SI"/>
              </w:rPr>
              <w:t>Znesek za tekoče leto (t)</w:t>
            </w:r>
          </w:p>
        </w:tc>
        <w:tc>
          <w:tcPr>
            <w:tcW w:w="2882" w:type="dxa"/>
            <w:gridSpan w:val="4"/>
            <w:vAlign w:val="center"/>
          </w:tcPr>
          <w:p w14:paraId="0001F043" w14:textId="77777777" w:rsidR="00B152F3" w:rsidRPr="006D1761" w:rsidRDefault="00B152F3" w:rsidP="00B152F3">
            <w:pPr>
              <w:spacing w:line="240" w:lineRule="auto"/>
              <w:jc w:val="center"/>
              <w:rPr>
                <w:rFonts w:cs="Arial"/>
                <w:szCs w:val="20"/>
                <w:lang w:val="sl-SI"/>
              </w:rPr>
            </w:pPr>
            <w:r w:rsidRPr="006D1761">
              <w:rPr>
                <w:rFonts w:cs="Arial"/>
                <w:szCs w:val="20"/>
                <w:lang w:val="sl-SI"/>
              </w:rPr>
              <w:t>Znesek za t + 1</w:t>
            </w:r>
          </w:p>
        </w:tc>
      </w:tr>
      <w:tr w:rsidR="00B152F3" w:rsidRPr="006D1761" w14:paraId="36CAA8AC" w14:textId="77777777" w:rsidTr="00A23D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vAlign w:val="center"/>
          </w:tcPr>
          <w:p w14:paraId="4FF63656" w14:textId="77777777" w:rsidR="00B152F3" w:rsidRPr="006D1761" w:rsidRDefault="00B152F3" w:rsidP="00B152F3">
            <w:pPr>
              <w:widowControl w:val="0"/>
              <w:tabs>
                <w:tab w:val="left" w:pos="360"/>
              </w:tabs>
              <w:outlineLvl w:val="0"/>
              <w:rPr>
                <w:rFonts w:cs="Arial"/>
                <w:bCs/>
                <w:kern w:val="32"/>
                <w:szCs w:val="20"/>
                <w:lang w:val="sl-SI" w:eastAsia="sl-SI"/>
              </w:rPr>
            </w:pPr>
          </w:p>
        </w:tc>
        <w:tc>
          <w:tcPr>
            <w:tcW w:w="2013" w:type="dxa"/>
            <w:gridSpan w:val="4"/>
            <w:vAlign w:val="center"/>
          </w:tcPr>
          <w:p w14:paraId="338F5098" w14:textId="77777777" w:rsidR="00B152F3" w:rsidRPr="006D1761" w:rsidRDefault="00B152F3" w:rsidP="00B152F3">
            <w:pPr>
              <w:widowControl w:val="0"/>
              <w:tabs>
                <w:tab w:val="left" w:pos="360"/>
              </w:tabs>
              <w:outlineLvl w:val="0"/>
              <w:rPr>
                <w:rFonts w:cs="Arial"/>
                <w:bCs/>
                <w:kern w:val="32"/>
                <w:szCs w:val="20"/>
                <w:lang w:val="sl-SI" w:eastAsia="sl-SI"/>
              </w:rPr>
            </w:pPr>
          </w:p>
        </w:tc>
        <w:tc>
          <w:tcPr>
            <w:tcW w:w="2882" w:type="dxa"/>
            <w:gridSpan w:val="4"/>
            <w:vAlign w:val="center"/>
          </w:tcPr>
          <w:p w14:paraId="1C139869" w14:textId="77777777" w:rsidR="00B152F3" w:rsidRPr="006D1761" w:rsidRDefault="00B152F3" w:rsidP="00B152F3">
            <w:pPr>
              <w:spacing w:line="240" w:lineRule="auto"/>
              <w:rPr>
                <w:rFonts w:cs="Arial"/>
                <w:bCs/>
                <w:kern w:val="32"/>
                <w:szCs w:val="20"/>
                <w:lang w:val="sl-SI" w:eastAsia="sl-SI"/>
              </w:rPr>
            </w:pPr>
          </w:p>
        </w:tc>
      </w:tr>
      <w:tr w:rsidR="00B152F3" w:rsidRPr="006D1761" w14:paraId="6D63E7AB" w14:textId="77777777" w:rsidTr="00A23D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vAlign w:val="center"/>
          </w:tcPr>
          <w:p w14:paraId="17B58EA0" w14:textId="77777777" w:rsidR="00B152F3" w:rsidRPr="006D1761" w:rsidRDefault="00B152F3" w:rsidP="00B152F3">
            <w:pPr>
              <w:widowControl w:val="0"/>
              <w:tabs>
                <w:tab w:val="left" w:pos="360"/>
              </w:tabs>
              <w:outlineLvl w:val="0"/>
              <w:rPr>
                <w:rFonts w:cs="Arial"/>
                <w:bCs/>
                <w:kern w:val="32"/>
                <w:szCs w:val="20"/>
                <w:lang w:val="sl-SI" w:eastAsia="sl-SI"/>
              </w:rPr>
            </w:pPr>
          </w:p>
        </w:tc>
        <w:tc>
          <w:tcPr>
            <w:tcW w:w="2013" w:type="dxa"/>
            <w:gridSpan w:val="4"/>
            <w:vAlign w:val="center"/>
          </w:tcPr>
          <w:p w14:paraId="2B2D562F" w14:textId="77777777" w:rsidR="00B152F3" w:rsidRPr="006D1761" w:rsidRDefault="00B152F3" w:rsidP="00B152F3">
            <w:pPr>
              <w:widowControl w:val="0"/>
              <w:tabs>
                <w:tab w:val="left" w:pos="360"/>
              </w:tabs>
              <w:outlineLvl w:val="0"/>
              <w:rPr>
                <w:rFonts w:cs="Arial"/>
                <w:bCs/>
                <w:kern w:val="32"/>
                <w:szCs w:val="20"/>
                <w:lang w:val="sl-SI" w:eastAsia="sl-SI"/>
              </w:rPr>
            </w:pPr>
          </w:p>
        </w:tc>
        <w:tc>
          <w:tcPr>
            <w:tcW w:w="2882" w:type="dxa"/>
            <w:gridSpan w:val="4"/>
            <w:vAlign w:val="center"/>
          </w:tcPr>
          <w:p w14:paraId="05501C8C" w14:textId="77777777" w:rsidR="00B152F3" w:rsidRPr="006D1761" w:rsidRDefault="00B152F3" w:rsidP="00B152F3">
            <w:pPr>
              <w:spacing w:line="240" w:lineRule="auto"/>
              <w:rPr>
                <w:rFonts w:cs="Arial"/>
                <w:bCs/>
                <w:kern w:val="32"/>
                <w:szCs w:val="20"/>
                <w:lang w:val="sl-SI" w:eastAsia="sl-SI"/>
              </w:rPr>
            </w:pPr>
          </w:p>
        </w:tc>
      </w:tr>
      <w:tr w:rsidR="00B152F3" w:rsidRPr="006D1761" w14:paraId="3D47E897" w14:textId="77777777" w:rsidTr="00A23D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vAlign w:val="center"/>
          </w:tcPr>
          <w:p w14:paraId="2CBB8FE5" w14:textId="77777777" w:rsidR="00B152F3" w:rsidRPr="006D1761" w:rsidRDefault="00B152F3" w:rsidP="00B152F3">
            <w:pPr>
              <w:widowControl w:val="0"/>
              <w:tabs>
                <w:tab w:val="left" w:pos="360"/>
              </w:tabs>
              <w:outlineLvl w:val="0"/>
              <w:rPr>
                <w:rFonts w:cs="Arial"/>
                <w:bCs/>
                <w:kern w:val="32"/>
                <w:szCs w:val="20"/>
                <w:lang w:val="sl-SI" w:eastAsia="sl-SI"/>
              </w:rPr>
            </w:pPr>
          </w:p>
        </w:tc>
        <w:tc>
          <w:tcPr>
            <w:tcW w:w="2013" w:type="dxa"/>
            <w:gridSpan w:val="4"/>
            <w:vAlign w:val="center"/>
          </w:tcPr>
          <w:p w14:paraId="328C18F0" w14:textId="77777777" w:rsidR="00B152F3" w:rsidRPr="006D1761" w:rsidRDefault="00B152F3" w:rsidP="00B152F3">
            <w:pPr>
              <w:widowControl w:val="0"/>
              <w:tabs>
                <w:tab w:val="left" w:pos="360"/>
              </w:tabs>
              <w:outlineLvl w:val="0"/>
              <w:rPr>
                <w:rFonts w:cs="Arial"/>
                <w:bCs/>
                <w:kern w:val="32"/>
                <w:szCs w:val="20"/>
                <w:lang w:val="sl-SI" w:eastAsia="sl-SI"/>
              </w:rPr>
            </w:pPr>
          </w:p>
        </w:tc>
        <w:tc>
          <w:tcPr>
            <w:tcW w:w="2882" w:type="dxa"/>
            <w:gridSpan w:val="4"/>
            <w:vAlign w:val="center"/>
          </w:tcPr>
          <w:p w14:paraId="43A5735F" w14:textId="77777777" w:rsidR="00B152F3" w:rsidRPr="006D1761" w:rsidRDefault="00B152F3" w:rsidP="00B152F3">
            <w:pPr>
              <w:spacing w:line="240" w:lineRule="auto"/>
              <w:rPr>
                <w:rFonts w:cs="Arial"/>
                <w:bCs/>
                <w:kern w:val="32"/>
                <w:szCs w:val="20"/>
                <w:lang w:val="sl-SI" w:eastAsia="sl-SI"/>
              </w:rPr>
            </w:pPr>
          </w:p>
        </w:tc>
      </w:tr>
      <w:tr w:rsidR="00B152F3" w:rsidRPr="006D1761" w14:paraId="3C8D6C86" w14:textId="77777777" w:rsidTr="00A23D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vAlign w:val="center"/>
          </w:tcPr>
          <w:p w14:paraId="0AB2C3F9" w14:textId="77777777" w:rsidR="00B152F3" w:rsidRPr="006D1761" w:rsidRDefault="00B152F3" w:rsidP="00B152F3">
            <w:pPr>
              <w:widowControl w:val="0"/>
              <w:tabs>
                <w:tab w:val="left" w:pos="360"/>
              </w:tabs>
              <w:outlineLvl w:val="0"/>
              <w:rPr>
                <w:rFonts w:cs="Arial"/>
                <w:b/>
                <w:kern w:val="32"/>
                <w:szCs w:val="20"/>
                <w:lang w:val="sl-SI" w:eastAsia="sl-SI"/>
              </w:rPr>
            </w:pPr>
            <w:r w:rsidRPr="006D1761">
              <w:rPr>
                <w:rFonts w:cs="Arial"/>
                <w:b/>
                <w:kern w:val="32"/>
                <w:szCs w:val="20"/>
                <w:lang w:val="sl-SI" w:eastAsia="sl-SI"/>
              </w:rPr>
              <w:t>SKUPAJ</w:t>
            </w:r>
          </w:p>
        </w:tc>
        <w:tc>
          <w:tcPr>
            <w:tcW w:w="2013" w:type="dxa"/>
            <w:gridSpan w:val="4"/>
            <w:vAlign w:val="center"/>
          </w:tcPr>
          <w:p w14:paraId="0714D624" w14:textId="77777777" w:rsidR="00B152F3" w:rsidRPr="006D1761" w:rsidRDefault="00B152F3" w:rsidP="00B152F3">
            <w:pPr>
              <w:widowControl w:val="0"/>
              <w:tabs>
                <w:tab w:val="left" w:pos="360"/>
              </w:tabs>
              <w:outlineLvl w:val="0"/>
              <w:rPr>
                <w:rFonts w:cs="Arial"/>
                <w:b/>
                <w:kern w:val="32"/>
                <w:szCs w:val="20"/>
                <w:lang w:val="sl-SI" w:eastAsia="sl-SI"/>
              </w:rPr>
            </w:pPr>
          </w:p>
        </w:tc>
        <w:tc>
          <w:tcPr>
            <w:tcW w:w="2882" w:type="dxa"/>
            <w:gridSpan w:val="4"/>
            <w:vAlign w:val="center"/>
          </w:tcPr>
          <w:p w14:paraId="4567DCC6" w14:textId="77777777" w:rsidR="00B152F3" w:rsidRPr="006D1761" w:rsidRDefault="00B152F3" w:rsidP="00B152F3">
            <w:pPr>
              <w:spacing w:line="240" w:lineRule="auto"/>
              <w:rPr>
                <w:rFonts w:cs="Arial"/>
                <w:b/>
                <w:kern w:val="32"/>
                <w:szCs w:val="20"/>
                <w:lang w:val="sl-SI" w:eastAsia="sl-SI"/>
              </w:rPr>
            </w:pPr>
          </w:p>
        </w:tc>
      </w:tr>
      <w:tr w:rsidR="00B152F3" w:rsidRPr="00804BB9" w14:paraId="13E20456" w14:textId="77777777" w:rsidTr="00A23D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9166" w:type="dxa"/>
            <w:gridSpan w:val="12"/>
            <w:vAlign w:val="center"/>
          </w:tcPr>
          <w:p w14:paraId="18892D4B" w14:textId="77777777" w:rsidR="00B152F3" w:rsidRPr="006D1761" w:rsidRDefault="00B152F3" w:rsidP="00B152F3">
            <w:pPr>
              <w:widowControl w:val="0"/>
              <w:spacing w:line="276" w:lineRule="auto"/>
              <w:rPr>
                <w:rFonts w:cs="Arial"/>
                <w:b/>
                <w:szCs w:val="20"/>
                <w:lang w:val="sl-SI"/>
              </w:rPr>
            </w:pPr>
          </w:p>
          <w:p w14:paraId="619B5D34" w14:textId="77777777" w:rsidR="00B152F3" w:rsidRPr="006D1761" w:rsidRDefault="00B152F3" w:rsidP="00B152F3">
            <w:pPr>
              <w:widowControl w:val="0"/>
              <w:spacing w:line="276" w:lineRule="auto"/>
              <w:rPr>
                <w:rFonts w:cs="Arial"/>
                <w:b/>
                <w:szCs w:val="20"/>
                <w:lang w:val="sl-SI"/>
              </w:rPr>
            </w:pPr>
            <w:r w:rsidRPr="006D1761">
              <w:rPr>
                <w:rFonts w:cs="Arial"/>
                <w:b/>
                <w:szCs w:val="20"/>
                <w:lang w:val="sl-SI"/>
              </w:rPr>
              <w:t>OBRAZLOŽITEV:</w:t>
            </w:r>
          </w:p>
          <w:p w14:paraId="20536E42" w14:textId="77777777" w:rsidR="00B152F3" w:rsidRPr="006D1761" w:rsidRDefault="00B152F3" w:rsidP="003B2726">
            <w:pPr>
              <w:widowControl w:val="0"/>
              <w:numPr>
                <w:ilvl w:val="0"/>
                <w:numId w:val="3"/>
              </w:numPr>
              <w:suppressAutoHyphens/>
              <w:spacing w:after="160" w:line="276" w:lineRule="auto"/>
              <w:ind w:left="284" w:hanging="284"/>
              <w:jc w:val="both"/>
              <w:rPr>
                <w:rFonts w:cs="Arial"/>
                <w:b/>
                <w:szCs w:val="20"/>
                <w:lang w:val="sl-SI" w:eastAsia="sl-SI"/>
              </w:rPr>
            </w:pPr>
            <w:r w:rsidRPr="006D1761">
              <w:rPr>
                <w:rFonts w:cs="Arial"/>
                <w:b/>
                <w:szCs w:val="20"/>
                <w:lang w:val="sl-SI" w:eastAsia="sl-SI"/>
              </w:rPr>
              <w:t>Ocena finančnih posledic, ki niso načrtovane v sprejetem proračunu</w:t>
            </w:r>
          </w:p>
          <w:p w14:paraId="3BB98FB3" w14:textId="77777777" w:rsidR="00B152F3" w:rsidRPr="006D1761" w:rsidRDefault="00B152F3" w:rsidP="00B152F3">
            <w:pPr>
              <w:widowControl w:val="0"/>
              <w:spacing w:line="276" w:lineRule="auto"/>
              <w:ind w:left="360" w:hanging="76"/>
              <w:jc w:val="both"/>
              <w:rPr>
                <w:rFonts w:cs="Arial"/>
                <w:szCs w:val="20"/>
                <w:lang w:val="sl-SI" w:eastAsia="sl-SI"/>
              </w:rPr>
            </w:pPr>
            <w:r w:rsidRPr="006D1761">
              <w:rPr>
                <w:rFonts w:cs="Arial"/>
                <w:szCs w:val="20"/>
                <w:lang w:val="sl-SI" w:eastAsia="sl-SI"/>
              </w:rPr>
              <w:t>V zvezi s predlaganim vladnim gradivom se navedejo predvidene spremembe (povečanje, zmanjšanje):</w:t>
            </w:r>
          </w:p>
          <w:p w14:paraId="58CAA8EE" w14:textId="77777777" w:rsidR="00B152F3" w:rsidRPr="006D1761" w:rsidRDefault="00B152F3" w:rsidP="003B2726">
            <w:pPr>
              <w:widowControl w:val="0"/>
              <w:numPr>
                <w:ilvl w:val="0"/>
                <w:numId w:val="4"/>
              </w:numPr>
              <w:suppressAutoHyphens/>
              <w:jc w:val="both"/>
              <w:rPr>
                <w:rFonts w:cs="Arial"/>
                <w:szCs w:val="20"/>
                <w:lang w:val="sl-SI" w:eastAsia="sl-SI"/>
              </w:rPr>
            </w:pPr>
            <w:r w:rsidRPr="006D1761">
              <w:rPr>
                <w:rFonts w:cs="Arial"/>
                <w:szCs w:val="20"/>
                <w:lang w:val="sl-SI" w:eastAsia="sl-SI"/>
              </w:rPr>
              <w:t>prihodkov državnega proračuna in občinskih proračunov,</w:t>
            </w:r>
          </w:p>
          <w:p w14:paraId="71BFA9AB" w14:textId="77777777" w:rsidR="00B152F3" w:rsidRPr="006D1761" w:rsidRDefault="00B152F3" w:rsidP="003B2726">
            <w:pPr>
              <w:widowControl w:val="0"/>
              <w:numPr>
                <w:ilvl w:val="0"/>
                <w:numId w:val="4"/>
              </w:numPr>
              <w:suppressAutoHyphens/>
              <w:jc w:val="both"/>
              <w:rPr>
                <w:rFonts w:cs="Arial"/>
                <w:szCs w:val="20"/>
                <w:lang w:val="sl-SI" w:eastAsia="sl-SI"/>
              </w:rPr>
            </w:pPr>
            <w:r w:rsidRPr="006D1761">
              <w:rPr>
                <w:rFonts w:cs="Arial"/>
                <w:szCs w:val="20"/>
                <w:lang w:val="sl-SI" w:eastAsia="sl-SI"/>
              </w:rPr>
              <w:t>odhodkov državnega proračuna, ki niso načrtovani na ukrepih oziroma projektih sprejetih proračunov,</w:t>
            </w:r>
          </w:p>
          <w:p w14:paraId="60DD04F2" w14:textId="77777777" w:rsidR="00B152F3" w:rsidRPr="006D1761" w:rsidRDefault="00B152F3" w:rsidP="003B2726">
            <w:pPr>
              <w:widowControl w:val="0"/>
              <w:numPr>
                <w:ilvl w:val="0"/>
                <w:numId w:val="4"/>
              </w:numPr>
              <w:suppressAutoHyphens/>
              <w:jc w:val="both"/>
              <w:rPr>
                <w:rFonts w:cs="Arial"/>
                <w:szCs w:val="20"/>
                <w:lang w:val="sl-SI" w:eastAsia="sl-SI"/>
              </w:rPr>
            </w:pPr>
            <w:r w:rsidRPr="006D1761">
              <w:rPr>
                <w:rFonts w:cs="Arial"/>
                <w:szCs w:val="20"/>
                <w:lang w:val="sl-SI" w:eastAsia="sl-SI"/>
              </w:rPr>
              <w:t>obveznosti za druga javnofinančna sredstva (drugi viri), ki niso načrtovana na ukrepih oziroma projektih sprejetih proračunov.</w:t>
            </w:r>
          </w:p>
          <w:p w14:paraId="1A13B3A0" w14:textId="77777777" w:rsidR="00B152F3" w:rsidRPr="006D1761" w:rsidRDefault="00B152F3" w:rsidP="00B152F3">
            <w:pPr>
              <w:widowControl w:val="0"/>
              <w:spacing w:line="276" w:lineRule="auto"/>
              <w:ind w:left="284"/>
              <w:rPr>
                <w:rFonts w:cs="Arial"/>
                <w:szCs w:val="20"/>
                <w:lang w:val="sl-SI" w:eastAsia="sl-SI"/>
              </w:rPr>
            </w:pPr>
          </w:p>
          <w:p w14:paraId="00DEB056" w14:textId="77777777" w:rsidR="00B152F3" w:rsidRPr="006D1761" w:rsidRDefault="00B152F3" w:rsidP="003B2726">
            <w:pPr>
              <w:widowControl w:val="0"/>
              <w:numPr>
                <w:ilvl w:val="0"/>
                <w:numId w:val="3"/>
              </w:numPr>
              <w:suppressAutoHyphens/>
              <w:spacing w:after="160" w:line="276" w:lineRule="auto"/>
              <w:ind w:left="284" w:hanging="284"/>
              <w:jc w:val="both"/>
              <w:rPr>
                <w:rFonts w:cs="Arial"/>
                <w:b/>
                <w:szCs w:val="20"/>
                <w:lang w:val="sl-SI" w:eastAsia="sl-SI"/>
              </w:rPr>
            </w:pPr>
            <w:r w:rsidRPr="006D1761">
              <w:rPr>
                <w:rFonts w:cs="Arial"/>
                <w:b/>
                <w:szCs w:val="20"/>
                <w:lang w:val="sl-SI" w:eastAsia="sl-SI"/>
              </w:rPr>
              <w:t>Finančne posledice za državni proračun</w:t>
            </w:r>
          </w:p>
          <w:p w14:paraId="7A1F70FC" w14:textId="77777777" w:rsidR="00B152F3" w:rsidRPr="006D1761" w:rsidRDefault="00B152F3" w:rsidP="00B152F3">
            <w:pPr>
              <w:widowControl w:val="0"/>
              <w:spacing w:line="276" w:lineRule="auto"/>
              <w:ind w:left="284"/>
              <w:jc w:val="both"/>
              <w:rPr>
                <w:rFonts w:cs="Arial"/>
                <w:szCs w:val="20"/>
                <w:lang w:val="sl-SI" w:eastAsia="sl-SI"/>
              </w:rPr>
            </w:pPr>
            <w:r w:rsidRPr="006D1761">
              <w:rPr>
                <w:rFonts w:cs="Arial"/>
                <w:szCs w:val="20"/>
                <w:lang w:val="sl-SI" w:eastAsia="sl-SI"/>
              </w:rPr>
              <w:t>Prikazane morajo biti finančne posledice za državni proračun, ki so na proračunskih postavkah načrtovane v dinamiki projektov oziroma ukrepov:</w:t>
            </w:r>
          </w:p>
          <w:p w14:paraId="233E7806" w14:textId="77777777" w:rsidR="00B152F3" w:rsidRPr="006D1761" w:rsidRDefault="00B152F3" w:rsidP="00B152F3">
            <w:pPr>
              <w:widowControl w:val="0"/>
              <w:suppressAutoHyphens/>
              <w:spacing w:line="276" w:lineRule="auto"/>
              <w:ind w:left="720"/>
              <w:jc w:val="both"/>
              <w:rPr>
                <w:rFonts w:cs="Arial"/>
                <w:b/>
                <w:szCs w:val="20"/>
                <w:lang w:val="sl-SI" w:eastAsia="sl-SI"/>
              </w:rPr>
            </w:pPr>
            <w:r w:rsidRPr="006D1761">
              <w:rPr>
                <w:rFonts w:cs="Arial"/>
                <w:b/>
                <w:szCs w:val="20"/>
                <w:lang w:val="sl-SI" w:eastAsia="sl-SI"/>
              </w:rPr>
              <w:t>II.a Pravice porabe za izvedbo predlaganih rešitev so zagotovljene:</w:t>
            </w:r>
          </w:p>
          <w:p w14:paraId="2E8F4297" w14:textId="77777777" w:rsidR="00B152F3" w:rsidRPr="006D1761" w:rsidRDefault="00B152F3" w:rsidP="00B152F3">
            <w:pPr>
              <w:widowControl w:val="0"/>
              <w:spacing w:line="276" w:lineRule="auto"/>
              <w:ind w:left="284"/>
              <w:jc w:val="both"/>
              <w:rPr>
                <w:rFonts w:cs="Arial"/>
                <w:szCs w:val="20"/>
                <w:lang w:val="sl-SI" w:eastAsia="sl-SI"/>
              </w:rPr>
            </w:pPr>
            <w:r w:rsidRPr="006D1761">
              <w:rPr>
                <w:rFonts w:cs="Arial"/>
                <w:szCs w:val="20"/>
                <w:lang w:val="sl-SI" w:eastAsia="sl-SI"/>
              </w:rPr>
              <w:lastRenderedPageBreak/>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14:paraId="48FA6E7A" w14:textId="77777777" w:rsidR="00B152F3" w:rsidRPr="006D1761" w:rsidRDefault="00B152F3" w:rsidP="003B2726">
            <w:pPr>
              <w:widowControl w:val="0"/>
              <w:numPr>
                <w:ilvl w:val="0"/>
                <w:numId w:val="5"/>
              </w:numPr>
              <w:suppressAutoHyphens/>
              <w:jc w:val="both"/>
              <w:rPr>
                <w:rFonts w:cs="Arial"/>
                <w:szCs w:val="20"/>
                <w:lang w:val="sl-SI" w:eastAsia="sl-SI"/>
              </w:rPr>
            </w:pPr>
            <w:r w:rsidRPr="006D1761">
              <w:rPr>
                <w:rFonts w:cs="Arial"/>
                <w:szCs w:val="20"/>
                <w:lang w:val="sl-SI" w:eastAsia="sl-SI"/>
              </w:rPr>
              <w:t>proračunski uporabnik, ki bo financiral novi projekt oziroma ukrep,</w:t>
            </w:r>
          </w:p>
          <w:p w14:paraId="4A6D0D12" w14:textId="77777777" w:rsidR="00B152F3" w:rsidRPr="006D1761" w:rsidRDefault="00B152F3" w:rsidP="003B2726">
            <w:pPr>
              <w:widowControl w:val="0"/>
              <w:numPr>
                <w:ilvl w:val="0"/>
                <w:numId w:val="5"/>
              </w:numPr>
              <w:suppressAutoHyphens/>
              <w:jc w:val="both"/>
              <w:rPr>
                <w:rFonts w:cs="Arial"/>
                <w:szCs w:val="20"/>
                <w:lang w:val="sl-SI" w:eastAsia="sl-SI"/>
              </w:rPr>
            </w:pPr>
            <w:r w:rsidRPr="006D1761">
              <w:rPr>
                <w:rFonts w:cs="Arial"/>
                <w:szCs w:val="20"/>
                <w:lang w:val="sl-SI" w:eastAsia="sl-SI"/>
              </w:rPr>
              <w:t xml:space="preserve">projekt oziroma ukrep, s katerim se bodo dosegli cilji vladnega gradiva, in </w:t>
            </w:r>
          </w:p>
          <w:p w14:paraId="549B41B5" w14:textId="77777777" w:rsidR="00B152F3" w:rsidRPr="006D1761" w:rsidRDefault="00B152F3" w:rsidP="003B2726">
            <w:pPr>
              <w:widowControl w:val="0"/>
              <w:numPr>
                <w:ilvl w:val="0"/>
                <w:numId w:val="5"/>
              </w:numPr>
              <w:suppressAutoHyphens/>
              <w:jc w:val="both"/>
              <w:rPr>
                <w:rFonts w:cs="Arial"/>
                <w:szCs w:val="20"/>
                <w:lang w:val="sl-SI" w:eastAsia="sl-SI"/>
              </w:rPr>
            </w:pPr>
            <w:r w:rsidRPr="006D1761">
              <w:rPr>
                <w:rFonts w:cs="Arial"/>
                <w:szCs w:val="20"/>
                <w:lang w:val="sl-SI" w:eastAsia="sl-SI"/>
              </w:rPr>
              <w:t>proračunske postavke.</w:t>
            </w:r>
          </w:p>
          <w:p w14:paraId="6334923F" w14:textId="77777777" w:rsidR="00B152F3" w:rsidRPr="006D1761" w:rsidRDefault="00B152F3" w:rsidP="00B152F3">
            <w:pPr>
              <w:widowControl w:val="0"/>
              <w:spacing w:line="276" w:lineRule="auto"/>
              <w:ind w:left="284"/>
              <w:jc w:val="both"/>
              <w:rPr>
                <w:rFonts w:cs="Arial"/>
                <w:szCs w:val="20"/>
                <w:lang w:val="sl-SI" w:eastAsia="sl-SI"/>
              </w:rPr>
            </w:pPr>
            <w:r w:rsidRPr="006D1761">
              <w:rPr>
                <w:rFonts w:cs="Arial"/>
                <w:szCs w:val="20"/>
                <w:lang w:val="sl-SI"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14:paraId="72DB5E64" w14:textId="77777777" w:rsidR="00B152F3" w:rsidRPr="006D1761" w:rsidRDefault="00B152F3" w:rsidP="00B152F3">
            <w:pPr>
              <w:widowControl w:val="0"/>
              <w:suppressAutoHyphens/>
              <w:spacing w:line="276" w:lineRule="auto"/>
              <w:ind w:left="714"/>
              <w:jc w:val="both"/>
              <w:rPr>
                <w:rFonts w:cs="Arial"/>
                <w:b/>
                <w:szCs w:val="20"/>
                <w:lang w:val="sl-SI" w:eastAsia="sl-SI"/>
              </w:rPr>
            </w:pPr>
            <w:r w:rsidRPr="006D1761">
              <w:rPr>
                <w:rFonts w:cs="Arial"/>
                <w:b/>
                <w:szCs w:val="20"/>
                <w:lang w:val="sl-SI" w:eastAsia="sl-SI"/>
              </w:rPr>
              <w:t>II.b Manjkajoče pravice porabe bodo zagotovljene s prerazporeditvijo:</w:t>
            </w:r>
          </w:p>
          <w:p w14:paraId="64C1048F" w14:textId="77777777" w:rsidR="00B152F3" w:rsidRPr="006D1761" w:rsidRDefault="00B152F3" w:rsidP="00B152F3">
            <w:pPr>
              <w:widowControl w:val="0"/>
              <w:spacing w:line="276" w:lineRule="auto"/>
              <w:ind w:left="284"/>
              <w:jc w:val="both"/>
              <w:rPr>
                <w:rFonts w:cs="Arial"/>
                <w:szCs w:val="20"/>
                <w:lang w:val="sl-SI" w:eastAsia="sl-SI"/>
              </w:rPr>
            </w:pPr>
            <w:r w:rsidRPr="006D1761">
              <w:rPr>
                <w:rFonts w:cs="Arial"/>
                <w:szCs w:val="20"/>
                <w:lang w:val="sl-SI"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14:paraId="5BD8C0E2" w14:textId="77777777" w:rsidR="00B152F3" w:rsidRPr="006D1761" w:rsidRDefault="00B152F3" w:rsidP="00B152F3">
            <w:pPr>
              <w:widowControl w:val="0"/>
              <w:suppressAutoHyphens/>
              <w:spacing w:line="276" w:lineRule="auto"/>
              <w:ind w:left="714"/>
              <w:jc w:val="both"/>
              <w:rPr>
                <w:rFonts w:cs="Arial"/>
                <w:b/>
                <w:szCs w:val="20"/>
                <w:lang w:val="sl-SI" w:eastAsia="sl-SI"/>
              </w:rPr>
            </w:pPr>
            <w:r w:rsidRPr="006D1761">
              <w:rPr>
                <w:rFonts w:cs="Arial"/>
                <w:b/>
                <w:szCs w:val="20"/>
                <w:lang w:val="sl-SI" w:eastAsia="sl-SI"/>
              </w:rPr>
              <w:t>II.c Načrtovana nadomestitev zmanjšanih prihodkov in povečanih odhodkov proračuna:</w:t>
            </w:r>
          </w:p>
          <w:p w14:paraId="256C7D43" w14:textId="77777777" w:rsidR="00B152F3" w:rsidRPr="006D1761" w:rsidRDefault="00B152F3" w:rsidP="00B152F3">
            <w:pPr>
              <w:widowControl w:val="0"/>
              <w:spacing w:line="276" w:lineRule="auto"/>
              <w:ind w:left="284"/>
              <w:jc w:val="both"/>
              <w:rPr>
                <w:rFonts w:cs="Arial"/>
                <w:szCs w:val="20"/>
                <w:lang w:val="sl-SI" w:eastAsia="sl-SI"/>
              </w:rPr>
            </w:pPr>
            <w:r w:rsidRPr="006D1761">
              <w:rPr>
                <w:rFonts w:cs="Arial"/>
                <w:szCs w:val="20"/>
                <w:lang w:val="sl-SI"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4E0E410A" w14:textId="77777777" w:rsidR="00B152F3" w:rsidRPr="006D1761" w:rsidRDefault="00B152F3" w:rsidP="00B152F3">
            <w:pPr>
              <w:spacing w:line="276" w:lineRule="auto"/>
              <w:rPr>
                <w:rFonts w:cs="Arial"/>
                <w:b/>
                <w:kern w:val="32"/>
                <w:szCs w:val="20"/>
                <w:lang w:val="sl-SI" w:eastAsia="sl-SI"/>
              </w:rPr>
            </w:pPr>
          </w:p>
        </w:tc>
      </w:tr>
      <w:tr w:rsidR="00B152F3" w:rsidRPr="006D1761" w14:paraId="5DE199E9" w14:textId="77777777" w:rsidTr="00A23D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9166" w:type="dxa"/>
            <w:gridSpan w:val="12"/>
            <w:vAlign w:val="center"/>
          </w:tcPr>
          <w:p w14:paraId="60CD19B4" w14:textId="77777777" w:rsidR="00B152F3" w:rsidRPr="006D1761" w:rsidRDefault="00B152F3" w:rsidP="00B152F3">
            <w:pPr>
              <w:rPr>
                <w:rFonts w:cs="Arial"/>
                <w:b/>
                <w:szCs w:val="20"/>
                <w:lang w:val="sl-SI"/>
              </w:rPr>
            </w:pPr>
            <w:bookmarkStart w:id="3" w:name="_Hlk70606131"/>
            <w:r w:rsidRPr="006D1761">
              <w:rPr>
                <w:rFonts w:cs="Arial"/>
                <w:b/>
                <w:szCs w:val="20"/>
                <w:lang w:val="sl-SI"/>
              </w:rPr>
              <w:lastRenderedPageBreak/>
              <w:t>7.b Predstavitev ocene finančnih posledic pod 40.000 EUR:</w:t>
            </w:r>
          </w:p>
          <w:bookmarkEnd w:id="3"/>
          <w:p w14:paraId="77965902" w14:textId="77777777" w:rsidR="00B152F3" w:rsidRPr="006D1761" w:rsidRDefault="00B152F3" w:rsidP="00CA0C1F">
            <w:pPr>
              <w:jc w:val="both"/>
              <w:rPr>
                <w:rFonts w:cs="Arial"/>
                <w:b/>
                <w:szCs w:val="20"/>
                <w:lang w:val="sl-SI"/>
              </w:rPr>
            </w:pPr>
          </w:p>
        </w:tc>
      </w:tr>
      <w:tr w:rsidR="00B152F3" w:rsidRPr="006D1761" w14:paraId="7FAD2470" w14:textId="77777777" w:rsidTr="00A23D5D">
        <w:trPr>
          <w:trHeight w:val="371"/>
        </w:trPr>
        <w:tc>
          <w:tcPr>
            <w:tcW w:w="9166" w:type="dxa"/>
            <w:gridSpan w:val="12"/>
          </w:tcPr>
          <w:p w14:paraId="32DA66F9" w14:textId="77777777" w:rsidR="00B152F3" w:rsidRPr="006D1761" w:rsidRDefault="00B152F3" w:rsidP="00B152F3">
            <w:pPr>
              <w:rPr>
                <w:rFonts w:cs="Arial"/>
                <w:b/>
                <w:szCs w:val="20"/>
                <w:lang w:val="sl-SI"/>
              </w:rPr>
            </w:pPr>
            <w:r w:rsidRPr="006D1761">
              <w:rPr>
                <w:rFonts w:cs="Arial"/>
                <w:b/>
                <w:szCs w:val="20"/>
                <w:lang w:val="sl-SI"/>
              </w:rPr>
              <w:t>8. Predstavitev sodelovanja z združenji občin:</w:t>
            </w:r>
          </w:p>
        </w:tc>
      </w:tr>
      <w:tr w:rsidR="00B152F3" w:rsidRPr="00E1666F" w14:paraId="2EB741AB" w14:textId="77777777" w:rsidTr="00A23D5D">
        <w:tc>
          <w:tcPr>
            <w:tcW w:w="6669" w:type="dxa"/>
            <w:gridSpan w:val="9"/>
          </w:tcPr>
          <w:p w14:paraId="305BCF8E" w14:textId="77777777" w:rsidR="00B152F3" w:rsidRPr="00E1666F" w:rsidRDefault="00B152F3" w:rsidP="00B152F3">
            <w:pPr>
              <w:widowControl w:val="0"/>
              <w:overflowPunct w:val="0"/>
              <w:autoSpaceDE w:val="0"/>
              <w:autoSpaceDN w:val="0"/>
              <w:adjustRightInd w:val="0"/>
              <w:jc w:val="both"/>
              <w:textAlignment w:val="baseline"/>
              <w:rPr>
                <w:rFonts w:cs="Arial"/>
                <w:iCs/>
                <w:szCs w:val="20"/>
                <w:lang w:val="sl-SI" w:eastAsia="sl-SI"/>
              </w:rPr>
            </w:pPr>
            <w:r w:rsidRPr="00E1666F">
              <w:rPr>
                <w:rFonts w:cs="Arial"/>
                <w:iCs/>
                <w:szCs w:val="20"/>
                <w:lang w:val="sl-SI" w:eastAsia="sl-SI"/>
              </w:rPr>
              <w:t>Vsebina predloženega gradiva (predpisa) vpliva na:</w:t>
            </w:r>
          </w:p>
          <w:p w14:paraId="4D363F98" w14:textId="77777777" w:rsidR="00B152F3" w:rsidRPr="00E1666F" w:rsidRDefault="00B152F3" w:rsidP="003B2726">
            <w:pPr>
              <w:pStyle w:val="Odstavekseznama"/>
              <w:widowControl w:val="0"/>
              <w:numPr>
                <w:ilvl w:val="0"/>
                <w:numId w:val="6"/>
              </w:numPr>
              <w:overflowPunct w:val="0"/>
              <w:autoSpaceDE w:val="0"/>
              <w:autoSpaceDN w:val="0"/>
              <w:adjustRightInd w:val="0"/>
              <w:jc w:val="both"/>
              <w:textAlignment w:val="baseline"/>
              <w:rPr>
                <w:rFonts w:cs="Arial"/>
                <w:iCs/>
                <w:szCs w:val="20"/>
                <w:lang w:val="sl-SI" w:eastAsia="sl-SI"/>
              </w:rPr>
            </w:pPr>
            <w:r w:rsidRPr="00E1666F">
              <w:rPr>
                <w:rFonts w:cs="Arial"/>
                <w:iCs/>
                <w:szCs w:val="20"/>
                <w:lang w:val="sl-SI" w:eastAsia="sl-SI"/>
              </w:rPr>
              <w:t>pristojnosti občin,</w:t>
            </w:r>
          </w:p>
          <w:p w14:paraId="35328F39" w14:textId="77777777" w:rsidR="00B152F3" w:rsidRPr="00E1666F" w:rsidRDefault="00B152F3" w:rsidP="003B2726">
            <w:pPr>
              <w:pStyle w:val="Odstavekseznama"/>
              <w:widowControl w:val="0"/>
              <w:numPr>
                <w:ilvl w:val="0"/>
                <w:numId w:val="6"/>
              </w:numPr>
              <w:overflowPunct w:val="0"/>
              <w:autoSpaceDE w:val="0"/>
              <w:autoSpaceDN w:val="0"/>
              <w:adjustRightInd w:val="0"/>
              <w:jc w:val="both"/>
              <w:textAlignment w:val="baseline"/>
              <w:rPr>
                <w:rFonts w:cs="Arial"/>
                <w:iCs/>
                <w:szCs w:val="20"/>
                <w:lang w:val="sl-SI" w:eastAsia="sl-SI"/>
              </w:rPr>
            </w:pPr>
            <w:r w:rsidRPr="00E1666F">
              <w:rPr>
                <w:rFonts w:cs="Arial"/>
                <w:iCs/>
                <w:szCs w:val="20"/>
                <w:lang w:val="sl-SI" w:eastAsia="sl-SI"/>
              </w:rPr>
              <w:t>delovanje občin,</w:t>
            </w:r>
          </w:p>
          <w:p w14:paraId="6FAD51D9" w14:textId="77777777" w:rsidR="00B152F3" w:rsidRPr="00E1666F" w:rsidRDefault="00B152F3" w:rsidP="003B2726">
            <w:pPr>
              <w:pStyle w:val="Odstavekseznama"/>
              <w:widowControl w:val="0"/>
              <w:numPr>
                <w:ilvl w:val="0"/>
                <w:numId w:val="6"/>
              </w:numPr>
              <w:overflowPunct w:val="0"/>
              <w:autoSpaceDE w:val="0"/>
              <w:autoSpaceDN w:val="0"/>
              <w:adjustRightInd w:val="0"/>
              <w:jc w:val="both"/>
              <w:textAlignment w:val="baseline"/>
              <w:rPr>
                <w:rFonts w:cs="Arial"/>
                <w:iCs/>
                <w:szCs w:val="20"/>
                <w:lang w:val="sl-SI" w:eastAsia="sl-SI"/>
              </w:rPr>
            </w:pPr>
            <w:r w:rsidRPr="00E1666F">
              <w:rPr>
                <w:rFonts w:cs="Arial"/>
                <w:iCs/>
                <w:szCs w:val="20"/>
                <w:lang w:val="sl-SI" w:eastAsia="sl-SI"/>
              </w:rPr>
              <w:t>financiranje občin.</w:t>
            </w:r>
          </w:p>
          <w:p w14:paraId="6729F15C" w14:textId="77777777" w:rsidR="00B152F3" w:rsidRPr="00E1666F" w:rsidRDefault="00B152F3" w:rsidP="00B152F3">
            <w:pPr>
              <w:widowControl w:val="0"/>
              <w:overflowPunct w:val="0"/>
              <w:autoSpaceDE w:val="0"/>
              <w:autoSpaceDN w:val="0"/>
              <w:adjustRightInd w:val="0"/>
              <w:ind w:left="1440"/>
              <w:jc w:val="both"/>
              <w:textAlignment w:val="baseline"/>
              <w:rPr>
                <w:rFonts w:cs="Arial"/>
                <w:iCs/>
                <w:szCs w:val="20"/>
                <w:lang w:val="sl-SI" w:eastAsia="sl-SI"/>
              </w:rPr>
            </w:pPr>
          </w:p>
        </w:tc>
        <w:tc>
          <w:tcPr>
            <w:tcW w:w="2497" w:type="dxa"/>
            <w:gridSpan w:val="3"/>
          </w:tcPr>
          <w:p w14:paraId="4F1D3641" w14:textId="276025FB" w:rsidR="00B152F3" w:rsidRPr="00EC61D4" w:rsidRDefault="00B152F3" w:rsidP="00B152F3">
            <w:pPr>
              <w:spacing w:line="240" w:lineRule="auto"/>
              <w:jc w:val="center"/>
              <w:rPr>
                <w:rFonts w:cs="Arial"/>
                <w:b/>
                <w:bCs/>
                <w:iCs/>
                <w:szCs w:val="20"/>
                <w:lang w:val="sl-SI" w:eastAsia="sl-SI"/>
              </w:rPr>
            </w:pPr>
            <w:r w:rsidRPr="00EC61D4">
              <w:rPr>
                <w:b/>
                <w:bCs/>
                <w:szCs w:val="20"/>
                <w:lang w:val="sl-SI"/>
              </w:rPr>
              <w:t>DA</w:t>
            </w:r>
          </w:p>
        </w:tc>
      </w:tr>
      <w:tr w:rsidR="00B152F3" w:rsidRPr="006D1761" w14:paraId="37E055C9" w14:textId="77777777" w:rsidTr="00A23D5D">
        <w:trPr>
          <w:trHeight w:val="274"/>
        </w:trPr>
        <w:tc>
          <w:tcPr>
            <w:tcW w:w="9166" w:type="dxa"/>
            <w:gridSpan w:val="12"/>
          </w:tcPr>
          <w:p w14:paraId="475EFFBB" w14:textId="04EAC8CE" w:rsidR="00B152F3" w:rsidRPr="00E1666F" w:rsidRDefault="00B152F3" w:rsidP="00B152F3">
            <w:pPr>
              <w:widowControl w:val="0"/>
              <w:overflowPunct w:val="0"/>
              <w:autoSpaceDE w:val="0"/>
              <w:autoSpaceDN w:val="0"/>
              <w:adjustRightInd w:val="0"/>
              <w:jc w:val="both"/>
              <w:textAlignment w:val="baseline"/>
              <w:rPr>
                <w:rFonts w:cs="Arial"/>
                <w:iCs/>
                <w:szCs w:val="20"/>
                <w:lang w:val="sl-SI"/>
              </w:rPr>
            </w:pPr>
            <w:r w:rsidRPr="00E1666F">
              <w:rPr>
                <w:rFonts w:cs="Arial"/>
                <w:iCs/>
                <w:szCs w:val="20"/>
                <w:lang w:val="sl-SI"/>
              </w:rPr>
              <w:t xml:space="preserve">Gradivo (predpis) </w:t>
            </w:r>
            <w:r w:rsidR="00EC61D4">
              <w:rPr>
                <w:rFonts w:cs="Arial"/>
                <w:iCs/>
                <w:szCs w:val="20"/>
                <w:lang w:val="sl-SI"/>
              </w:rPr>
              <w:t>je bilo</w:t>
            </w:r>
            <w:r w:rsidRPr="00E1666F">
              <w:rPr>
                <w:rFonts w:cs="Arial"/>
                <w:iCs/>
                <w:szCs w:val="20"/>
                <w:lang w:val="sl-SI"/>
              </w:rPr>
              <w:t xml:space="preserve"> poslano v mnenje: </w:t>
            </w:r>
          </w:p>
          <w:p w14:paraId="22859522" w14:textId="04D93855" w:rsidR="00B152F3" w:rsidRPr="00E1666F" w:rsidRDefault="00B152F3" w:rsidP="003B2726">
            <w:pPr>
              <w:pStyle w:val="Odstavekseznama"/>
              <w:widowControl w:val="0"/>
              <w:numPr>
                <w:ilvl w:val="0"/>
                <w:numId w:val="7"/>
              </w:numPr>
              <w:overflowPunct w:val="0"/>
              <w:autoSpaceDE w:val="0"/>
              <w:autoSpaceDN w:val="0"/>
              <w:adjustRightInd w:val="0"/>
              <w:jc w:val="both"/>
              <w:textAlignment w:val="baseline"/>
              <w:rPr>
                <w:rFonts w:cs="Arial"/>
                <w:iCs/>
                <w:szCs w:val="20"/>
                <w:lang w:val="sl-SI"/>
              </w:rPr>
            </w:pPr>
            <w:r w:rsidRPr="00E1666F">
              <w:rPr>
                <w:rFonts w:cs="Arial"/>
                <w:iCs/>
                <w:szCs w:val="20"/>
                <w:lang w:val="sl-SI"/>
              </w:rPr>
              <w:t xml:space="preserve">Skupnosti občin Slovenije SOS: </w:t>
            </w:r>
            <w:r w:rsidR="00EC61D4" w:rsidRPr="00EC61D4">
              <w:rPr>
                <w:rFonts w:cs="Arial"/>
                <w:b/>
                <w:bCs/>
                <w:iCs/>
                <w:szCs w:val="20"/>
                <w:lang w:val="sl-SI"/>
              </w:rPr>
              <w:t>NE</w:t>
            </w:r>
            <w:r w:rsidR="00EC61D4">
              <w:rPr>
                <w:rFonts w:cs="Arial"/>
                <w:b/>
                <w:bCs/>
                <w:iCs/>
                <w:szCs w:val="20"/>
                <w:lang w:val="sl-SI"/>
              </w:rPr>
              <w:t xml:space="preserve"> (bo poslano)</w:t>
            </w:r>
          </w:p>
          <w:p w14:paraId="79B6F7EA" w14:textId="5BC695ED" w:rsidR="00B152F3" w:rsidRPr="00E1666F" w:rsidRDefault="00B152F3" w:rsidP="003B2726">
            <w:pPr>
              <w:pStyle w:val="Odstavekseznama"/>
              <w:widowControl w:val="0"/>
              <w:numPr>
                <w:ilvl w:val="0"/>
                <w:numId w:val="7"/>
              </w:numPr>
              <w:overflowPunct w:val="0"/>
              <w:autoSpaceDE w:val="0"/>
              <w:autoSpaceDN w:val="0"/>
              <w:adjustRightInd w:val="0"/>
              <w:jc w:val="both"/>
              <w:textAlignment w:val="baseline"/>
              <w:rPr>
                <w:rFonts w:cs="Arial"/>
                <w:iCs/>
                <w:szCs w:val="20"/>
                <w:lang w:val="sl-SI"/>
              </w:rPr>
            </w:pPr>
            <w:r w:rsidRPr="00E1666F">
              <w:rPr>
                <w:rFonts w:cs="Arial"/>
                <w:iCs/>
                <w:szCs w:val="20"/>
                <w:lang w:val="sl-SI"/>
              </w:rPr>
              <w:t xml:space="preserve">Združenju občin Slovenije ZOS: </w:t>
            </w:r>
            <w:r w:rsidR="00EC61D4" w:rsidRPr="00EC61D4">
              <w:rPr>
                <w:rFonts w:cs="Arial"/>
                <w:b/>
                <w:bCs/>
                <w:iCs/>
                <w:szCs w:val="20"/>
                <w:lang w:val="sl-SI"/>
              </w:rPr>
              <w:t xml:space="preserve"> NE</w:t>
            </w:r>
            <w:r w:rsidR="00EC61D4">
              <w:rPr>
                <w:rFonts w:cs="Arial"/>
                <w:b/>
                <w:bCs/>
                <w:iCs/>
                <w:szCs w:val="20"/>
                <w:lang w:val="sl-SI"/>
              </w:rPr>
              <w:t xml:space="preserve"> (bo poslano)</w:t>
            </w:r>
          </w:p>
          <w:p w14:paraId="7B51BF8B" w14:textId="7A5A1A86" w:rsidR="00B152F3" w:rsidRPr="00E1666F" w:rsidRDefault="00B152F3" w:rsidP="003B2726">
            <w:pPr>
              <w:pStyle w:val="Odstavekseznama"/>
              <w:widowControl w:val="0"/>
              <w:numPr>
                <w:ilvl w:val="0"/>
                <w:numId w:val="7"/>
              </w:numPr>
              <w:overflowPunct w:val="0"/>
              <w:autoSpaceDE w:val="0"/>
              <w:autoSpaceDN w:val="0"/>
              <w:adjustRightInd w:val="0"/>
              <w:jc w:val="both"/>
              <w:textAlignment w:val="baseline"/>
              <w:rPr>
                <w:rFonts w:cs="Arial"/>
                <w:iCs/>
                <w:szCs w:val="20"/>
                <w:lang w:val="sl-SI"/>
              </w:rPr>
            </w:pPr>
            <w:r w:rsidRPr="00E1666F">
              <w:rPr>
                <w:rFonts w:cs="Arial"/>
                <w:iCs/>
                <w:szCs w:val="20"/>
                <w:lang w:val="sl-SI"/>
              </w:rPr>
              <w:t xml:space="preserve">Združenju mestnih občin Slovenije ZMOS: </w:t>
            </w:r>
            <w:r w:rsidR="00EC61D4" w:rsidRPr="00EC61D4">
              <w:rPr>
                <w:rFonts w:cs="Arial"/>
                <w:b/>
                <w:bCs/>
                <w:iCs/>
                <w:szCs w:val="20"/>
                <w:lang w:val="sl-SI"/>
              </w:rPr>
              <w:t xml:space="preserve"> NE</w:t>
            </w:r>
            <w:r w:rsidR="00EC61D4">
              <w:rPr>
                <w:rFonts w:cs="Arial"/>
                <w:b/>
                <w:bCs/>
                <w:iCs/>
                <w:szCs w:val="20"/>
                <w:lang w:val="sl-SI"/>
              </w:rPr>
              <w:t xml:space="preserve"> (bo poslano)</w:t>
            </w:r>
          </w:p>
          <w:p w14:paraId="59E01485" w14:textId="77777777" w:rsidR="00EC61D4" w:rsidRPr="00E1666F" w:rsidRDefault="00EC61D4" w:rsidP="00B152F3">
            <w:pPr>
              <w:widowControl w:val="0"/>
              <w:overflowPunct w:val="0"/>
              <w:autoSpaceDE w:val="0"/>
              <w:autoSpaceDN w:val="0"/>
              <w:adjustRightInd w:val="0"/>
              <w:jc w:val="both"/>
              <w:textAlignment w:val="baseline"/>
              <w:rPr>
                <w:rFonts w:cs="Arial"/>
                <w:iCs/>
                <w:szCs w:val="20"/>
                <w:lang w:val="sl-SI"/>
              </w:rPr>
            </w:pPr>
          </w:p>
          <w:p w14:paraId="2AA59991" w14:textId="77777777" w:rsidR="00B152F3" w:rsidRPr="00E1666F" w:rsidRDefault="00B152F3" w:rsidP="00B152F3">
            <w:pPr>
              <w:widowControl w:val="0"/>
              <w:overflowPunct w:val="0"/>
              <w:autoSpaceDE w:val="0"/>
              <w:autoSpaceDN w:val="0"/>
              <w:adjustRightInd w:val="0"/>
              <w:jc w:val="both"/>
              <w:textAlignment w:val="baseline"/>
              <w:rPr>
                <w:rFonts w:cs="Arial"/>
                <w:iCs/>
                <w:szCs w:val="20"/>
                <w:lang w:val="sl-SI"/>
              </w:rPr>
            </w:pPr>
            <w:r w:rsidRPr="00E1666F">
              <w:rPr>
                <w:rFonts w:cs="Arial"/>
                <w:iCs/>
                <w:szCs w:val="20"/>
                <w:lang w:val="sl-SI"/>
              </w:rPr>
              <w:t>Predlogi in pripombe združenj so bili upoštevani:</w:t>
            </w:r>
          </w:p>
          <w:p w14:paraId="2E012A0A" w14:textId="77777777" w:rsidR="00B152F3" w:rsidRPr="00E1666F" w:rsidRDefault="00B152F3" w:rsidP="003B2726">
            <w:pPr>
              <w:pStyle w:val="Odstavekseznama"/>
              <w:widowControl w:val="0"/>
              <w:numPr>
                <w:ilvl w:val="0"/>
                <w:numId w:val="7"/>
              </w:numPr>
              <w:overflowPunct w:val="0"/>
              <w:autoSpaceDE w:val="0"/>
              <w:autoSpaceDN w:val="0"/>
              <w:adjustRightInd w:val="0"/>
              <w:jc w:val="both"/>
              <w:textAlignment w:val="baseline"/>
              <w:rPr>
                <w:rFonts w:cs="Arial"/>
                <w:iCs/>
                <w:szCs w:val="20"/>
                <w:lang w:val="sl-SI"/>
              </w:rPr>
            </w:pPr>
            <w:r w:rsidRPr="00E1666F">
              <w:rPr>
                <w:rFonts w:cs="Arial"/>
                <w:iCs/>
                <w:szCs w:val="20"/>
                <w:lang w:val="sl-SI"/>
              </w:rPr>
              <w:t>v celoti,</w:t>
            </w:r>
          </w:p>
          <w:p w14:paraId="7DB69DB7" w14:textId="77777777" w:rsidR="00B152F3" w:rsidRPr="00E1666F" w:rsidRDefault="00B152F3" w:rsidP="003B2726">
            <w:pPr>
              <w:pStyle w:val="Odstavekseznama"/>
              <w:widowControl w:val="0"/>
              <w:numPr>
                <w:ilvl w:val="0"/>
                <w:numId w:val="7"/>
              </w:numPr>
              <w:overflowPunct w:val="0"/>
              <w:autoSpaceDE w:val="0"/>
              <w:autoSpaceDN w:val="0"/>
              <w:adjustRightInd w:val="0"/>
              <w:jc w:val="both"/>
              <w:textAlignment w:val="baseline"/>
              <w:rPr>
                <w:rFonts w:cs="Arial"/>
                <w:iCs/>
                <w:szCs w:val="20"/>
                <w:lang w:val="sl-SI"/>
              </w:rPr>
            </w:pPr>
            <w:r w:rsidRPr="00E1666F">
              <w:rPr>
                <w:rFonts w:cs="Arial"/>
                <w:iCs/>
                <w:szCs w:val="20"/>
                <w:lang w:val="sl-SI"/>
              </w:rPr>
              <w:t>večinoma,</w:t>
            </w:r>
          </w:p>
          <w:p w14:paraId="61CD7EBF" w14:textId="77777777" w:rsidR="00B152F3" w:rsidRPr="00E1666F" w:rsidRDefault="00B152F3" w:rsidP="003B2726">
            <w:pPr>
              <w:pStyle w:val="Odstavekseznama"/>
              <w:widowControl w:val="0"/>
              <w:numPr>
                <w:ilvl w:val="0"/>
                <w:numId w:val="7"/>
              </w:numPr>
              <w:overflowPunct w:val="0"/>
              <w:autoSpaceDE w:val="0"/>
              <w:autoSpaceDN w:val="0"/>
              <w:adjustRightInd w:val="0"/>
              <w:jc w:val="both"/>
              <w:textAlignment w:val="baseline"/>
              <w:rPr>
                <w:rFonts w:cs="Arial"/>
                <w:iCs/>
                <w:szCs w:val="20"/>
                <w:lang w:val="sl-SI"/>
              </w:rPr>
            </w:pPr>
            <w:r w:rsidRPr="00E1666F">
              <w:rPr>
                <w:rFonts w:cs="Arial"/>
                <w:iCs/>
                <w:szCs w:val="20"/>
                <w:lang w:val="sl-SI"/>
              </w:rPr>
              <w:t>delno,</w:t>
            </w:r>
          </w:p>
          <w:p w14:paraId="23845C9A" w14:textId="77777777" w:rsidR="00B152F3" w:rsidRPr="00E1666F" w:rsidRDefault="00B152F3" w:rsidP="003B2726">
            <w:pPr>
              <w:pStyle w:val="Odstavekseznama"/>
              <w:widowControl w:val="0"/>
              <w:numPr>
                <w:ilvl w:val="0"/>
                <w:numId w:val="7"/>
              </w:numPr>
              <w:overflowPunct w:val="0"/>
              <w:autoSpaceDE w:val="0"/>
              <w:autoSpaceDN w:val="0"/>
              <w:adjustRightInd w:val="0"/>
              <w:jc w:val="both"/>
              <w:textAlignment w:val="baseline"/>
              <w:rPr>
                <w:rFonts w:cs="Arial"/>
                <w:iCs/>
                <w:szCs w:val="20"/>
                <w:lang w:val="sl-SI"/>
              </w:rPr>
            </w:pPr>
            <w:r w:rsidRPr="00E1666F">
              <w:rPr>
                <w:rFonts w:cs="Arial"/>
                <w:iCs/>
                <w:szCs w:val="20"/>
                <w:lang w:val="sl-SI"/>
              </w:rPr>
              <w:t>niso bili upoštevani.</w:t>
            </w:r>
          </w:p>
          <w:p w14:paraId="27E1330C" w14:textId="77777777" w:rsidR="00B152F3" w:rsidRPr="00E1666F" w:rsidRDefault="00B152F3" w:rsidP="00B152F3">
            <w:pPr>
              <w:widowControl w:val="0"/>
              <w:overflowPunct w:val="0"/>
              <w:autoSpaceDE w:val="0"/>
              <w:autoSpaceDN w:val="0"/>
              <w:adjustRightInd w:val="0"/>
              <w:jc w:val="both"/>
              <w:textAlignment w:val="baseline"/>
              <w:rPr>
                <w:rFonts w:cs="Arial"/>
                <w:iCs/>
                <w:szCs w:val="20"/>
                <w:lang w:val="sl-SI" w:eastAsia="sl-SI"/>
              </w:rPr>
            </w:pPr>
          </w:p>
          <w:p w14:paraId="6C39DD0D" w14:textId="77777777" w:rsidR="00B152F3" w:rsidRPr="00E1666F" w:rsidRDefault="00B152F3" w:rsidP="00B152F3">
            <w:pPr>
              <w:widowControl w:val="0"/>
              <w:overflowPunct w:val="0"/>
              <w:autoSpaceDE w:val="0"/>
              <w:autoSpaceDN w:val="0"/>
              <w:adjustRightInd w:val="0"/>
              <w:jc w:val="both"/>
              <w:textAlignment w:val="baseline"/>
              <w:rPr>
                <w:rFonts w:cs="Arial"/>
                <w:iCs/>
                <w:szCs w:val="20"/>
                <w:lang w:val="sl-SI" w:eastAsia="sl-SI"/>
              </w:rPr>
            </w:pPr>
            <w:r w:rsidRPr="00E1666F">
              <w:rPr>
                <w:rFonts w:cs="Arial"/>
                <w:iCs/>
                <w:szCs w:val="20"/>
                <w:lang w:val="sl-SI" w:eastAsia="sl-SI"/>
              </w:rPr>
              <w:t>Bistveni predlogi in pripombe, ki niso bili upoštevani.</w:t>
            </w:r>
          </w:p>
          <w:p w14:paraId="02E21F88" w14:textId="77777777" w:rsidR="00B152F3" w:rsidRPr="006D1761" w:rsidRDefault="00B152F3" w:rsidP="00B152F3">
            <w:pPr>
              <w:widowControl w:val="0"/>
              <w:overflowPunct w:val="0"/>
              <w:autoSpaceDE w:val="0"/>
              <w:autoSpaceDN w:val="0"/>
              <w:adjustRightInd w:val="0"/>
              <w:jc w:val="both"/>
              <w:textAlignment w:val="baseline"/>
              <w:rPr>
                <w:rFonts w:cs="Arial"/>
                <w:iCs/>
                <w:szCs w:val="20"/>
                <w:lang w:val="sl-SI" w:eastAsia="sl-SI"/>
              </w:rPr>
            </w:pPr>
            <w:r w:rsidRPr="00E1666F">
              <w:rPr>
                <w:rFonts w:cs="Arial"/>
                <w:iCs/>
                <w:szCs w:val="20"/>
                <w:lang w:val="sl-SI" w:eastAsia="sl-SI"/>
              </w:rPr>
              <w:t>/</w:t>
            </w:r>
          </w:p>
        </w:tc>
      </w:tr>
      <w:tr w:rsidR="00A23D5D" w:rsidRPr="006D1761" w14:paraId="41C5E962" w14:textId="77777777" w:rsidTr="00A23D5D">
        <w:tc>
          <w:tcPr>
            <w:tcW w:w="9163" w:type="dxa"/>
            <w:gridSpan w:val="12"/>
            <w:vAlign w:val="center"/>
          </w:tcPr>
          <w:p w14:paraId="3447CE66" w14:textId="77777777" w:rsidR="00A23D5D" w:rsidRPr="006D1761" w:rsidRDefault="00A23D5D" w:rsidP="00A23D5D">
            <w:pPr>
              <w:widowControl w:val="0"/>
              <w:overflowPunct w:val="0"/>
              <w:autoSpaceDE w:val="0"/>
              <w:autoSpaceDN w:val="0"/>
              <w:adjustRightInd w:val="0"/>
              <w:textAlignment w:val="baseline"/>
              <w:rPr>
                <w:rFonts w:cs="Arial"/>
                <w:b/>
                <w:szCs w:val="20"/>
                <w:lang w:val="sl-SI" w:eastAsia="sl-SI"/>
              </w:rPr>
            </w:pPr>
            <w:r w:rsidRPr="006D1761">
              <w:rPr>
                <w:rFonts w:cs="Arial"/>
                <w:b/>
                <w:szCs w:val="20"/>
                <w:lang w:val="sl-SI" w:eastAsia="sl-SI"/>
              </w:rPr>
              <w:t>9. Predstavitev sodelovanja javnosti:</w:t>
            </w:r>
          </w:p>
        </w:tc>
      </w:tr>
      <w:tr w:rsidR="00A23D5D" w:rsidRPr="006D1761" w14:paraId="7F882619" w14:textId="77777777" w:rsidTr="00A23D5D">
        <w:tc>
          <w:tcPr>
            <w:tcW w:w="6669" w:type="dxa"/>
            <w:gridSpan w:val="9"/>
          </w:tcPr>
          <w:p w14:paraId="609735A2" w14:textId="77777777" w:rsidR="00A23D5D" w:rsidRPr="006D1761" w:rsidRDefault="00A23D5D" w:rsidP="00A23D5D">
            <w:pPr>
              <w:widowControl w:val="0"/>
              <w:overflowPunct w:val="0"/>
              <w:autoSpaceDE w:val="0"/>
              <w:autoSpaceDN w:val="0"/>
              <w:adjustRightInd w:val="0"/>
              <w:jc w:val="both"/>
              <w:textAlignment w:val="baseline"/>
              <w:rPr>
                <w:rFonts w:cs="Arial"/>
                <w:szCs w:val="20"/>
                <w:lang w:val="sl-SI" w:eastAsia="sl-SI"/>
              </w:rPr>
            </w:pPr>
            <w:r w:rsidRPr="006D1761">
              <w:rPr>
                <w:rFonts w:cs="Arial"/>
                <w:iCs/>
                <w:szCs w:val="20"/>
                <w:lang w:val="sl-SI" w:eastAsia="sl-SI"/>
              </w:rPr>
              <w:t>Gradivo je bilo predhodno objavljeno na spletni strani predlagatelja:</w:t>
            </w:r>
          </w:p>
        </w:tc>
        <w:tc>
          <w:tcPr>
            <w:tcW w:w="2494" w:type="dxa"/>
            <w:gridSpan w:val="3"/>
          </w:tcPr>
          <w:p w14:paraId="23F16A4F" w14:textId="5EA9D3C5" w:rsidR="00A23D5D" w:rsidRPr="00EC61D4" w:rsidRDefault="00EC61D4" w:rsidP="00A23D5D">
            <w:pPr>
              <w:spacing w:line="240" w:lineRule="auto"/>
              <w:jc w:val="center"/>
              <w:rPr>
                <w:rFonts w:cs="Arial"/>
                <w:b/>
                <w:bCs/>
                <w:szCs w:val="20"/>
                <w:lang w:val="sl-SI" w:eastAsia="sl-SI"/>
              </w:rPr>
            </w:pPr>
            <w:r w:rsidRPr="00EC61D4">
              <w:rPr>
                <w:rFonts w:cs="Arial"/>
                <w:b/>
                <w:bCs/>
                <w:szCs w:val="20"/>
                <w:lang w:val="sl-SI"/>
              </w:rPr>
              <w:t>DA</w:t>
            </w:r>
          </w:p>
        </w:tc>
      </w:tr>
      <w:tr w:rsidR="00A23D5D" w:rsidRPr="00804BB9" w14:paraId="6A61735F" w14:textId="77777777" w:rsidTr="00A23D5D">
        <w:tc>
          <w:tcPr>
            <w:tcW w:w="9163" w:type="dxa"/>
            <w:gridSpan w:val="12"/>
          </w:tcPr>
          <w:p w14:paraId="7FCD7813" w14:textId="77777777" w:rsidR="00A23D5D" w:rsidRDefault="00EC61D4" w:rsidP="00A23D5D">
            <w:pPr>
              <w:widowControl w:val="0"/>
              <w:overflowPunct w:val="0"/>
              <w:autoSpaceDE w:val="0"/>
              <w:autoSpaceDN w:val="0"/>
              <w:adjustRightInd w:val="0"/>
              <w:jc w:val="both"/>
              <w:textAlignment w:val="baseline"/>
              <w:rPr>
                <w:rFonts w:cs="Arial"/>
                <w:iCs/>
                <w:szCs w:val="20"/>
                <w:lang w:val="sl-SI" w:eastAsia="sl-SI"/>
              </w:rPr>
            </w:pPr>
            <w:r>
              <w:rPr>
                <w:rFonts w:cs="Arial"/>
                <w:iCs/>
                <w:szCs w:val="20"/>
                <w:lang w:val="sl-SI" w:eastAsia="sl-SI"/>
              </w:rPr>
              <w:t>Javna obravnava na e-demokracija 16. 2. 2024 – 18. 3. 2024</w:t>
            </w:r>
          </w:p>
          <w:p w14:paraId="64317B88" w14:textId="791BD914" w:rsidR="00EC61D4" w:rsidRDefault="00804BB9" w:rsidP="00A23D5D">
            <w:pPr>
              <w:widowControl w:val="0"/>
              <w:overflowPunct w:val="0"/>
              <w:autoSpaceDE w:val="0"/>
              <w:autoSpaceDN w:val="0"/>
              <w:adjustRightInd w:val="0"/>
              <w:jc w:val="both"/>
              <w:textAlignment w:val="baseline"/>
              <w:rPr>
                <w:rFonts w:cs="Arial"/>
                <w:iCs/>
                <w:szCs w:val="20"/>
                <w:lang w:val="sl-SI" w:eastAsia="sl-SI"/>
              </w:rPr>
            </w:pPr>
            <w:hyperlink r:id="rId9" w:history="1">
              <w:r w:rsidR="00EC61D4" w:rsidRPr="003F5D8F">
                <w:rPr>
                  <w:rStyle w:val="Hiperpovezava"/>
                  <w:rFonts w:cs="Arial"/>
                  <w:iCs/>
                  <w:szCs w:val="20"/>
                  <w:lang w:val="sl-SI" w:eastAsia="sl-SI"/>
                </w:rPr>
                <w:t>https://e-uprava.gov.si/si/drzava-in-druzba/e-demokracija/predlogi-predpisov/predlog-predpisa.html?id=16290</w:t>
              </w:r>
            </w:hyperlink>
          </w:p>
          <w:p w14:paraId="252A7F46" w14:textId="446CD863" w:rsidR="00EC61D4" w:rsidRPr="006D1761" w:rsidRDefault="00EC61D4" w:rsidP="00A23D5D">
            <w:pPr>
              <w:widowControl w:val="0"/>
              <w:overflowPunct w:val="0"/>
              <w:autoSpaceDE w:val="0"/>
              <w:autoSpaceDN w:val="0"/>
              <w:adjustRightInd w:val="0"/>
              <w:jc w:val="both"/>
              <w:textAlignment w:val="baseline"/>
              <w:rPr>
                <w:rFonts w:cs="Arial"/>
                <w:iCs/>
                <w:szCs w:val="20"/>
                <w:lang w:val="sl-SI" w:eastAsia="sl-SI"/>
              </w:rPr>
            </w:pPr>
            <w:r>
              <w:rPr>
                <w:rFonts w:cs="Arial"/>
                <w:iCs/>
                <w:szCs w:val="20"/>
                <w:lang w:val="sl-SI" w:eastAsia="sl-SI"/>
              </w:rPr>
              <w:t>Izvedena bo ponovna javna obravnava hkrati z medresorskim usklajevanjem.</w:t>
            </w:r>
          </w:p>
        </w:tc>
      </w:tr>
      <w:tr w:rsidR="00A23D5D" w:rsidRPr="00804BB9" w14:paraId="44CF701C" w14:textId="77777777" w:rsidTr="00A23D5D">
        <w:tc>
          <w:tcPr>
            <w:tcW w:w="9163" w:type="dxa"/>
            <w:gridSpan w:val="12"/>
          </w:tcPr>
          <w:p w14:paraId="379406A3" w14:textId="77777777" w:rsidR="00A23D5D" w:rsidRPr="006D1761" w:rsidRDefault="00A23D5D" w:rsidP="00A23D5D">
            <w:pPr>
              <w:spacing w:line="260" w:lineRule="atLeast"/>
              <w:jc w:val="both"/>
              <w:rPr>
                <w:rFonts w:cs="Arial"/>
                <w:strike/>
                <w:szCs w:val="20"/>
                <w:lang w:val="sl-SI" w:eastAsia="sl-SI"/>
              </w:rPr>
            </w:pPr>
          </w:p>
        </w:tc>
      </w:tr>
      <w:tr w:rsidR="00A23D5D" w:rsidRPr="006D1761" w14:paraId="0A8AC77F" w14:textId="77777777" w:rsidTr="00A23D5D">
        <w:tc>
          <w:tcPr>
            <w:tcW w:w="6669" w:type="dxa"/>
            <w:gridSpan w:val="9"/>
            <w:vAlign w:val="center"/>
          </w:tcPr>
          <w:p w14:paraId="650CB44B" w14:textId="77777777" w:rsidR="00A23D5D" w:rsidRPr="006D1761" w:rsidRDefault="00A23D5D" w:rsidP="00A23D5D">
            <w:pPr>
              <w:widowControl w:val="0"/>
              <w:overflowPunct w:val="0"/>
              <w:autoSpaceDE w:val="0"/>
              <w:autoSpaceDN w:val="0"/>
              <w:adjustRightInd w:val="0"/>
              <w:textAlignment w:val="baseline"/>
              <w:rPr>
                <w:rFonts w:cs="Arial"/>
                <w:szCs w:val="20"/>
                <w:lang w:val="sl-SI" w:eastAsia="sl-SI"/>
              </w:rPr>
            </w:pPr>
            <w:r w:rsidRPr="006D1761">
              <w:rPr>
                <w:rFonts w:cs="Arial"/>
                <w:b/>
                <w:szCs w:val="20"/>
                <w:lang w:val="sl-SI" w:eastAsia="sl-SI"/>
              </w:rPr>
              <w:t>10. Pri pripravi gradiva so bile upoštevane zahteve iz Resolucije o normativni dejavnosti:</w:t>
            </w:r>
          </w:p>
        </w:tc>
        <w:tc>
          <w:tcPr>
            <w:tcW w:w="2494" w:type="dxa"/>
            <w:gridSpan w:val="3"/>
            <w:vAlign w:val="center"/>
          </w:tcPr>
          <w:p w14:paraId="336D7E15" w14:textId="442C876C" w:rsidR="00A23D5D" w:rsidRPr="00EC61D4" w:rsidRDefault="00EC61D4" w:rsidP="00A23D5D">
            <w:pPr>
              <w:spacing w:line="240" w:lineRule="auto"/>
              <w:jc w:val="center"/>
              <w:rPr>
                <w:rFonts w:cs="Arial"/>
                <w:b/>
                <w:bCs/>
                <w:szCs w:val="20"/>
                <w:lang w:val="sl-SI" w:eastAsia="sl-SI"/>
              </w:rPr>
            </w:pPr>
            <w:r>
              <w:rPr>
                <w:b/>
                <w:bCs/>
                <w:szCs w:val="20"/>
                <w:lang w:val="sl-SI"/>
              </w:rPr>
              <w:t>NE (bo upoštevano)</w:t>
            </w:r>
          </w:p>
        </w:tc>
      </w:tr>
      <w:tr w:rsidR="00A23D5D" w:rsidRPr="006D1761" w14:paraId="301D4C6B" w14:textId="77777777" w:rsidTr="00A23D5D">
        <w:tc>
          <w:tcPr>
            <w:tcW w:w="6669" w:type="dxa"/>
            <w:gridSpan w:val="9"/>
            <w:vAlign w:val="center"/>
          </w:tcPr>
          <w:p w14:paraId="0913FAC7" w14:textId="77777777" w:rsidR="00A23D5D" w:rsidRPr="006D1761" w:rsidRDefault="00A23D5D" w:rsidP="00A23D5D">
            <w:pPr>
              <w:widowControl w:val="0"/>
              <w:overflowPunct w:val="0"/>
              <w:autoSpaceDE w:val="0"/>
              <w:autoSpaceDN w:val="0"/>
              <w:adjustRightInd w:val="0"/>
              <w:textAlignment w:val="baseline"/>
              <w:rPr>
                <w:rFonts w:cs="Arial"/>
                <w:b/>
                <w:szCs w:val="20"/>
                <w:lang w:val="sl-SI" w:eastAsia="sl-SI"/>
              </w:rPr>
            </w:pPr>
            <w:r w:rsidRPr="006D1761">
              <w:rPr>
                <w:rFonts w:cs="Arial"/>
                <w:b/>
                <w:szCs w:val="20"/>
                <w:lang w:val="sl-SI" w:eastAsia="sl-SI"/>
              </w:rPr>
              <w:t>11. Gradivo je uvrščeno v delovni program vlade:</w:t>
            </w:r>
          </w:p>
        </w:tc>
        <w:tc>
          <w:tcPr>
            <w:tcW w:w="2494" w:type="dxa"/>
            <w:gridSpan w:val="3"/>
            <w:vAlign w:val="center"/>
          </w:tcPr>
          <w:p w14:paraId="5E885B24" w14:textId="7E1F8B07" w:rsidR="00A23D5D" w:rsidRPr="006D1761" w:rsidRDefault="00A23D5D" w:rsidP="00A23D5D">
            <w:pPr>
              <w:spacing w:line="240" w:lineRule="auto"/>
              <w:jc w:val="center"/>
              <w:rPr>
                <w:rFonts w:cs="Arial"/>
                <w:b/>
                <w:szCs w:val="20"/>
                <w:lang w:val="sl-SI" w:eastAsia="sl-SI"/>
              </w:rPr>
            </w:pPr>
            <w:r w:rsidRPr="006D1761">
              <w:rPr>
                <w:b/>
                <w:bCs/>
                <w:szCs w:val="20"/>
                <w:lang w:val="sl-SI"/>
              </w:rPr>
              <w:t>DA</w:t>
            </w:r>
          </w:p>
        </w:tc>
      </w:tr>
      <w:tr w:rsidR="00A23D5D" w:rsidRPr="00D00A79" w14:paraId="131DEA33" w14:textId="77777777" w:rsidTr="00A23D5D">
        <w:tc>
          <w:tcPr>
            <w:tcW w:w="9163" w:type="dxa"/>
            <w:gridSpan w:val="12"/>
          </w:tcPr>
          <w:p w14:paraId="6F0984A0" w14:textId="77777777" w:rsidR="00A23D5D" w:rsidRPr="006D1761" w:rsidRDefault="00A23D5D" w:rsidP="00A23D5D">
            <w:pPr>
              <w:widowControl w:val="0"/>
              <w:suppressAutoHyphens/>
              <w:overflowPunct w:val="0"/>
              <w:autoSpaceDE w:val="0"/>
              <w:autoSpaceDN w:val="0"/>
              <w:adjustRightInd w:val="0"/>
              <w:ind w:left="3400"/>
              <w:textAlignment w:val="baseline"/>
              <w:outlineLvl w:val="3"/>
              <w:rPr>
                <w:rFonts w:cs="Arial"/>
                <w:b/>
                <w:szCs w:val="20"/>
                <w:lang w:val="sl-SI" w:eastAsia="sl-SI"/>
              </w:rPr>
            </w:pPr>
          </w:p>
          <w:p w14:paraId="265A1536" w14:textId="21E0A258" w:rsidR="00A23D5D" w:rsidRPr="006D1761" w:rsidRDefault="00EE08C0" w:rsidP="00A23D5D">
            <w:pPr>
              <w:widowControl w:val="0"/>
              <w:suppressAutoHyphens/>
              <w:overflowPunct w:val="0"/>
              <w:autoSpaceDE w:val="0"/>
              <w:autoSpaceDN w:val="0"/>
              <w:adjustRightInd w:val="0"/>
              <w:spacing w:before="360" w:after="60" w:line="200" w:lineRule="exact"/>
              <w:ind w:left="3400"/>
              <w:jc w:val="center"/>
              <w:textAlignment w:val="baseline"/>
              <w:outlineLvl w:val="3"/>
              <w:rPr>
                <w:rFonts w:cs="Arial"/>
                <w:szCs w:val="20"/>
                <w:lang w:val="sl-SI" w:eastAsia="sl-SI"/>
              </w:rPr>
            </w:pPr>
            <w:r w:rsidRPr="006D1761">
              <w:rPr>
                <w:rFonts w:cs="Arial"/>
                <w:szCs w:val="20"/>
                <w:lang w:val="sl-SI" w:eastAsia="sl-SI"/>
              </w:rPr>
              <w:t>D</w:t>
            </w:r>
            <w:r w:rsidR="00F2338B" w:rsidRPr="006D1761">
              <w:rPr>
                <w:rFonts w:cs="Arial"/>
                <w:szCs w:val="20"/>
                <w:lang w:val="sl-SI" w:eastAsia="sl-SI"/>
              </w:rPr>
              <w:t>r. Uroš Svete</w:t>
            </w:r>
          </w:p>
          <w:p w14:paraId="68EC850B" w14:textId="4BE89A49" w:rsidR="00A23D5D" w:rsidRPr="006D1761" w:rsidRDefault="00A23D5D" w:rsidP="00A23D5D">
            <w:pPr>
              <w:widowControl w:val="0"/>
              <w:suppressAutoHyphens/>
              <w:overflowPunct w:val="0"/>
              <w:autoSpaceDE w:val="0"/>
              <w:autoSpaceDN w:val="0"/>
              <w:adjustRightInd w:val="0"/>
              <w:ind w:left="3400"/>
              <w:textAlignment w:val="baseline"/>
              <w:outlineLvl w:val="3"/>
              <w:rPr>
                <w:rFonts w:cs="Arial"/>
                <w:szCs w:val="20"/>
                <w:lang w:val="sl-SI" w:eastAsia="sl-SI"/>
              </w:rPr>
            </w:pPr>
            <w:r w:rsidRPr="006D1761">
              <w:rPr>
                <w:rFonts w:cs="Arial"/>
                <w:szCs w:val="20"/>
                <w:lang w:val="sl-SI" w:eastAsia="sl-SI"/>
              </w:rPr>
              <w:t xml:space="preserve">                                        </w:t>
            </w:r>
            <w:r w:rsidR="00F2338B" w:rsidRPr="006D1761">
              <w:rPr>
                <w:rFonts w:cs="Arial"/>
                <w:szCs w:val="20"/>
                <w:lang w:val="sl-SI" w:eastAsia="sl-SI"/>
              </w:rPr>
              <w:t>direktor urada</w:t>
            </w:r>
            <w:r w:rsidRPr="006D1761">
              <w:rPr>
                <w:rFonts w:cs="Arial"/>
                <w:szCs w:val="20"/>
                <w:lang w:val="sl-SI" w:eastAsia="sl-SI"/>
              </w:rPr>
              <w:t xml:space="preserve">                                 </w:t>
            </w:r>
          </w:p>
          <w:p w14:paraId="570E5C2B" w14:textId="186784B3" w:rsidR="00A23D5D" w:rsidRPr="006D1761" w:rsidRDefault="00A23D5D" w:rsidP="00A23D5D">
            <w:pPr>
              <w:spacing w:line="288" w:lineRule="auto"/>
              <w:rPr>
                <w:rFonts w:cs="Arial"/>
                <w:szCs w:val="20"/>
                <w:lang w:val="sl-SI"/>
              </w:rPr>
            </w:pPr>
            <w:r w:rsidRPr="006D1761">
              <w:rPr>
                <w:rFonts w:cs="Arial"/>
                <w:szCs w:val="20"/>
                <w:lang w:val="sl-SI"/>
              </w:rPr>
              <w:t>Priloge:</w:t>
            </w:r>
          </w:p>
          <w:p w14:paraId="7D351F28" w14:textId="15A3C88C" w:rsidR="00A81D74" w:rsidRPr="006D1761" w:rsidRDefault="00F659E3" w:rsidP="003B2726">
            <w:pPr>
              <w:numPr>
                <w:ilvl w:val="0"/>
                <w:numId w:val="1"/>
              </w:numPr>
              <w:rPr>
                <w:rFonts w:cs="Arial"/>
                <w:bCs/>
                <w:iCs/>
                <w:szCs w:val="20"/>
                <w:lang w:val="sl-SI"/>
              </w:rPr>
            </w:pPr>
            <w:r w:rsidRPr="006D1761">
              <w:rPr>
                <w:rFonts w:cs="Arial"/>
                <w:bCs/>
                <w:iCs/>
                <w:szCs w:val="20"/>
                <w:lang w:val="sl-SI"/>
              </w:rPr>
              <w:t>besedilo predloga zakona</w:t>
            </w:r>
          </w:p>
          <w:p w14:paraId="721462C4" w14:textId="1B334CA4" w:rsidR="00A23D5D" w:rsidRPr="006D1761" w:rsidRDefault="00A23D5D" w:rsidP="007122D4">
            <w:pPr>
              <w:ind w:left="720"/>
              <w:rPr>
                <w:rFonts w:cs="Arial"/>
                <w:b/>
                <w:szCs w:val="20"/>
                <w:lang w:val="sl-SI" w:eastAsia="sl-SI"/>
              </w:rPr>
            </w:pPr>
          </w:p>
        </w:tc>
      </w:tr>
    </w:tbl>
    <w:p w14:paraId="7F10C3B6" w14:textId="77777777" w:rsidR="00B152F3" w:rsidRPr="006D1761" w:rsidRDefault="00B152F3" w:rsidP="00B152F3">
      <w:pPr>
        <w:widowControl w:val="0"/>
        <w:suppressAutoHyphens/>
        <w:overflowPunct w:val="0"/>
        <w:autoSpaceDE w:val="0"/>
        <w:autoSpaceDN w:val="0"/>
        <w:adjustRightInd w:val="0"/>
        <w:textAlignment w:val="baseline"/>
        <w:outlineLvl w:val="3"/>
        <w:rPr>
          <w:rFonts w:cs="Arial"/>
          <w:b/>
          <w:szCs w:val="20"/>
          <w:lang w:val="sl-SI" w:eastAsia="sl-SI"/>
        </w:rPr>
      </w:pPr>
    </w:p>
    <w:p w14:paraId="1E440125" w14:textId="77777777" w:rsidR="00EE08C0" w:rsidRPr="006D1761" w:rsidRDefault="00EE08C0">
      <w:pPr>
        <w:spacing w:line="240" w:lineRule="auto"/>
        <w:rPr>
          <w:rFonts w:cs="Arial"/>
          <w:b/>
          <w:szCs w:val="20"/>
          <w:lang w:val="sl-SI" w:eastAsia="sl-SI"/>
        </w:rPr>
      </w:pPr>
      <w:r w:rsidRPr="006D1761">
        <w:rPr>
          <w:rFonts w:cs="Arial"/>
          <w:b/>
          <w:szCs w:val="20"/>
          <w:lang w:val="sl-SI" w:eastAsia="sl-SI"/>
        </w:rPr>
        <w:br w:type="page"/>
      </w:r>
    </w:p>
    <w:p w14:paraId="7D98D1D6" w14:textId="41C0D8A5" w:rsidR="00A23D5D" w:rsidRPr="006D1761" w:rsidRDefault="00A23D5D" w:rsidP="00A23D5D">
      <w:pPr>
        <w:suppressAutoHyphens/>
        <w:overflowPunct w:val="0"/>
        <w:autoSpaceDE w:val="0"/>
        <w:autoSpaceDN w:val="0"/>
        <w:adjustRightInd w:val="0"/>
        <w:spacing w:line="240" w:lineRule="auto"/>
        <w:textAlignment w:val="baseline"/>
        <w:rPr>
          <w:rFonts w:cs="Arial"/>
          <w:b/>
          <w:szCs w:val="20"/>
          <w:lang w:val="sl-SI" w:eastAsia="sl-SI"/>
        </w:rPr>
      </w:pPr>
      <w:r w:rsidRPr="006D1761">
        <w:rPr>
          <w:rFonts w:cs="Arial"/>
          <w:b/>
          <w:szCs w:val="20"/>
          <w:lang w:val="sl-SI" w:eastAsia="sl-SI"/>
        </w:rPr>
        <w:lastRenderedPageBreak/>
        <w:t>PRILOGA 3 (jedro gradiva)</w:t>
      </w:r>
    </w:p>
    <w:p w14:paraId="6AB707EF" w14:textId="77777777" w:rsidR="00A23D5D" w:rsidRPr="006D1761" w:rsidRDefault="00A23D5D" w:rsidP="00A23D5D">
      <w:pPr>
        <w:suppressAutoHyphens/>
        <w:overflowPunct w:val="0"/>
        <w:autoSpaceDE w:val="0"/>
        <w:autoSpaceDN w:val="0"/>
        <w:adjustRightInd w:val="0"/>
        <w:spacing w:line="240" w:lineRule="auto"/>
        <w:textAlignment w:val="baseline"/>
        <w:rPr>
          <w:rFonts w:cs="Arial"/>
          <w:b/>
          <w:szCs w:val="20"/>
          <w:lang w:val="sl-SI" w:eastAsia="sl-SI"/>
        </w:rPr>
      </w:pPr>
    </w:p>
    <w:p w14:paraId="0AB84C25" w14:textId="77777777" w:rsidR="00A23D5D" w:rsidRPr="006D1761" w:rsidRDefault="00A23D5D" w:rsidP="00A23D5D">
      <w:pPr>
        <w:suppressAutoHyphens/>
        <w:overflowPunct w:val="0"/>
        <w:autoSpaceDE w:val="0"/>
        <w:autoSpaceDN w:val="0"/>
        <w:adjustRightInd w:val="0"/>
        <w:spacing w:line="240" w:lineRule="auto"/>
        <w:textAlignment w:val="baseline"/>
        <w:rPr>
          <w:rFonts w:cs="Arial"/>
          <w:b/>
          <w:szCs w:val="20"/>
          <w:lang w:val="sl-SI" w:eastAsia="sl-SI"/>
        </w:rPr>
      </w:pPr>
    </w:p>
    <w:p w14:paraId="5B4DE5A1" w14:textId="77777777" w:rsidR="00A23D5D" w:rsidRPr="006D1761" w:rsidRDefault="00A23D5D" w:rsidP="00A23D5D">
      <w:pPr>
        <w:suppressAutoHyphens/>
        <w:overflowPunct w:val="0"/>
        <w:autoSpaceDE w:val="0"/>
        <w:autoSpaceDN w:val="0"/>
        <w:adjustRightInd w:val="0"/>
        <w:spacing w:line="240" w:lineRule="auto"/>
        <w:jc w:val="right"/>
        <w:textAlignment w:val="baseline"/>
        <w:rPr>
          <w:rFonts w:cs="Arial"/>
          <w:b/>
          <w:szCs w:val="20"/>
          <w:lang w:val="sl-SI" w:eastAsia="sl-SI"/>
        </w:rPr>
      </w:pPr>
      <w:r w:rsidRPr="006D1761">
        <w:rPr>
          <w:rFonts w:cs="Arial"/>
          <w:b/>
          <w:szCs w:val="20"/>
          <w:lang w:val="sl-SI" w:eastAsia="sl-SI"/>
        </w:rPr>
        <w:t>PREDLOG</w:t>
      </w:r>
    </w:p>
    <w:p w14:paraId="566F488C" w14:textId="583939B6" w:rsidR="00A23D5D" w:rsidRPr="006D1761" w:rsidRDefault="00A23D5D" w:rsidP="00A23D5D">
      <w:pPr>
        <w:suppressAutoHyphens/>
        <w:overflowPunct w:val="0"/>
        <w:autoSpaceDE w:val="0"/>
        <w:autoSpaceDN w:val="0"/>
        <w:adjustRightInd w:val="0"/>
        <w:spacing w:line="240" w:lineRule="auto"/>
        <w:jc w:val="right"/>
        <w:textAlignment w:val="baseline"/>
        <w:rPr>
          <w:rFonts w:cs="Arial"/>
          <w:b/>
          <w:szCs w:val="20"/>
          <w:lang w:val="sl-SI" w:eastAsia="sl-SI"/>
        </w:rPr>
      </w:pPr>
      <w:r w:rsidRPr="006D1761">
        <w:rPr>
          <w:rFonts w:cs="Arial"/>
          <w:b/>
          <w:szCs w:val="20"/>
          <w:lang w:val="sl-SI" w:eastAsia="sl-SI"/>
        </w:rPr>
        <w:t>(</w:t>
      </w:r>
      <w:r w:rsidR="008D3023" w:rsidRPr="006D1761">
        <w:rPr>
          <w:rFonts w:cs="Arial"/>
          <w:b/>
          <w:szCs w:val="20"/>
          <w:lang w:val="sl-SI" w:eastAsia="sl-SI"/>
        </w:rPr>
        <w:t>EVA 2023-1544-000</w:t>
      </w:r>
      <w:r w:rsidR="00EE08C0" w:rsidRPr="006D1761">
        <w:rPr>
          <w:rFonts w:cs="Arial"/>
          <w:b/>
          <w:szCs w:val="20"/>
          <w:lang w:val="sl-SI" w:eastAsia="sl-SI"/>
        </w:rPr>
        <w:t>5</w:t>
      </w:r>
      <w:r w:rsidRPr="006D1761">
        <w:rPr>
          <w:rFonts w:cs="Arial"/>
          <w:b/>
          <w:color w:val="000000"/>
          <w:szCs w:val="20"/>
          <w:lang w:val="sl-SI" w:eastAsia="sl-SI"/>
        </w:rPr>
        <w:t>)</w:t>
      </w:r>
    </w:p>
    <w:p w14:paraId="063F14C1" w14:textId="77777777" w:rsidR="00A23D5D" w:rsidRPr="006D1761" w:rsidRDefault="00A23D5D" w:rsidP="00A23D5D">
      <w:pPr>
        <w:suppressAutoHyphens/>
        <w:overflowPunct w:val="0"/>
        <w:autoSpaceDE w:val="0"/>
        <w:autoSpaceDN w:val="0"/>
        <w:adjustRightInd w:val="0"/>
        <w:spacing w:line="240" w:lineRule="auto"/>
        <w:jc w:val="right"/>
        <w:textAlignment w:val="baseline"/>
        <w:rPr>
          <w:rFonts w:cs="Arial"/>
          <w:b/>
          <w:szCs w:val="20"/>
          <w:lang w:val="sl-SI" w:eastAsia="sl-SI"/>
        </w:rPr>
      </w:pPr>
    </w:p>
    <w:p w14:paraId="3D0BE730" w14:textId="77777777" w:rsidR="00A23D5D" w:rsidRPr="006D1761" w:rsidRDefault="00A23D5D" w:rsidP="00A23D5D">
      <w:pPr>
        <w:suppressAutoHyphens/>
        <w:overflowPunct w:val="0"/>
        <w:autoSpaceDE w:val="0"/>
        <w:autoSpaceDN w:val="0"/>
        <w:adjustRightInd w:val="0"/>
        <w:spacing w:line="240" w:lineRule="auto"/>
        <w:jc w:val="center"/>
        <w:textAlignment w:val="baseline"/>
        <w:rPr>
          <w:rFonts w:cs="Arial"/>
          <w:b/>
          <w:szCs w:val="20"/>
          <w:lang w:val="sl-SI" w:eastAsia="sl-SI"/>
        </w:rPr>
      </w:pPr>
    </w:p>
    <w:p w14:paraId="0CB0E353" w14:textId="237018D9" w:rsidR="00EE08C0" w:rsidRPr="006D1761" w:rsidRDefault="00A23D5D" w:rsidP="00EE08C0">
      <w:pPr>
        <w:suppressAutoHyphens/>
        <w:overflowPunct w:val="0"/>
        <w:autoSpaceDE w:val="0"/>
        <w:autoSpaceDN w:val="0"/>
        <w:adjustRightInd w:val="0"/>
        <w:spacing w:line="240" w:lineRule="auto"/>
        <w:jc w:val="center"/>
        <w:textAlignment w:val="baseline"/>
        <w:rPr>
          <w:rFonts w:cs="Arial"/>
          <w:b/>
          <w:szCs w:val="20"/>
          <w:lang w:val="sl-SI" w:eastAsia="sl-SI"/>
        </w:rPr>
      </w:pPr>
      <w:r w:rsidRPr="006D1761">
        <w:rPr>
          <w:rFonts w:cs="Arial"/>
          <w:b/>
          <w:szCs w:val="20"/>
          <w:lang w:val="sl-SI" w:eastAsia="sl-SI"/>
        </w:rPr>
        <w:t xml:space="preserve">PREDLOG </w:t>
      </w:r>
    </w:p>
    <w:p w14:paraId="790D942E" w14:textId="2667EE95" w:rsidR="00A23D5D" w:rsidRPr="006D1761" w:rsidRDefault="00A23D5D" w:rsidP="00A23D5D">
      <w:pPr>
        <w:suppressAutoHyphens/>
        <w:overflowPunct w:val="0"/>
        <w:autoSpaceDE w:val="0"/>
        <w:autoSpaceDN w:val="0"/>
        <w:adjustRightInd w:val="0"/>
        <w:spacing w:line="240" w:lineRule="auto"/>
        <w:jc w:val="center"/>
        <w:textAlignment w:val="baseline"/>
        <w:rPr>
          <w:rFonts w:cs="Arial"/>
          <w:b/>
          <w:szCs w:val="20"/>
          <w:lang w:val="sl-SI" w:eastAsia="sl-SI"/>
        </w:rPr>
      </w:pPr>
      <w:r w:rsidRPr="006D1761">
        <w:rPr>
          <w:rFonts w:cs="Arial"/>
          <w:b/>
          <w:szCs w:val="20"/>
          <w:lang w:val="sl-SI" w:eastAsia="sl-SI"/>
        </w:rPr>
        <w:t>ZAKONA O INFORMACIJSKI VARNOSTI</w:t>
      </w:r>
    </w:p>
    <w:p w14:paraId="18FAAF49" w14:textId="77777777" w:rsidR="00A23D5D" w:rsidRPr="006D1761" w:rsidRDefault="00A23D5D" w:rsidP="00A23D5D">
      <w:pPr>
        <w:suppressAutoHyphens/>
        <w:overflowPunct w:val="0"/>
        <w:autoSpaceDE w:val="0"/>
        <w:autoSpaceDN w:val="0"/>
        <w:adjustRightInd w:val="0"/>
        <w:spacing w:line="240" w:lineRule="auto"/>
        <w:jc w:val="center"/>
        <w:textAlignment w:val="baseline"/>
        <w:rPr>
          <w:rFonts w:cs="Arial"/>
          <w:b/>
          <w:szCs w:val="20"/>
          <w:lang w:val="sl-SI" w:eastAsia="sl-SI"/>
        </w:rPr>
      </w:pPr>
    </w:p>
    <w:p w14:paraId="64233FAF" w14:textId="77777777" w:rsidR="00A23D5D" w:rsidRPr="006D1761" w:rsidRDefault="00A23D5D" w:rsidP="00A23D5D">
      <w:pPr>
        <w:suppressAutoHyphens/>
        <w:overflowPunct w:val="0"/>
        <w:autoSpaceDE w:val="0"/>
        <w:autoSpaceDN w:val="0"/>
        <w:adjustRightInd w:val="0"/>
        <w:spacing w:line="240" w:lineRule="auto"/>
        <w:jc w:val="center"/>
        <w:textAlignment w:val="baseline"/>
        <w:rPr>
          <w:rFonts w:cs="Arial"/>
          <w:b/>
          <w:szCs w:val="20"/>
          <w:lang w:val="sl-SI" w:eastAsia="sl-SI"/>
        </w:rPr>
      </w:pPr>
    </w:p>
    <w:p w14:paraId="374F174F" w14:textId="77777777" w:rsidR="00A23D5D" w:rsidRPr="006D1761" w:rsidRDefault="00A23D5D" w:rsidP="00A23D5D">
      <w:pPr>
        <w:suppressAutoHyphens/>
        <w:overflowPunct w:val="0"/>
        <w:autoSpaceDE w:val="0"/>
        <w:autoSpaceDN w:val="0"/>
        <w:adjustRightInd w:val="0"/>
        <w:spacing w:line="240" w:lineRule="auto"/>
        <w:textAlignment w:val="baseline"/>
        <w:outlineLvl w:val="3"/>
        <w:rPr>
          <w:rFonts w:cs="Arial"/>
          <w:b/>
          <w:szCs w:val="20"/>
          <w:lang w:val="sl-SI" w:eastAsia="sl-SI"/>
        </w:rPr>
      </w:pPr>
      <w:r w:rsidRPr="006D1761">
        <w:rPr>
          <w:rFonts w:cs="Arial"/>
          <w:b/>
          <w:szCs w:val="20"/>
          <w:lang w:val="sl-SI" w:eastAsia="sl-SI"/>
        </w:rPr>
        <w:t>I. UVOD</w:t>
      </w:r>
    </w:p>
    <w:p w14:paraId="703DF967" w14:textId="77777777" w:rsidR="00A23D5D" w:rsidRPr="006D1761" w:rsidRDefault="00A23D5D" w:rsidP="00A23D5D">
      <w:pPr>
        <w:suppressAutoHyphens/>
        <w:overflowPunct w:val="0"/>
        <w:autoSpaceDE w:val="0"/>
        <w:autoSpaceDN w:val="0"/>
        <w:adjustRightInd w:val="0"/>
        <w:spacing w:line="240" w:lineRule="auto"/>
        <w:textAlignment w:val="baseline"/>
        <w:outlineLvl w:val="3"/>
        <w:rPr>
          <w:rFonts w:cs="Arial"/>
          <w:b/>
          <w:szCs w:val="20"/>
          <w:lang w:val="sl-SI" w:eastAsia="sl-SI"/>
        </w:rPr>
      </w:pPr>
    </w:p>
    <w:p w14:paraId="1495DE1B" w14:textId="77777777" w:rsidR="00A23D5D" w:rsidRPr="006D1761" w:rsidRDefault="00A23D5D" w:rsidP="00A23D5D">
      <w:pPr>
        <w:suppressAutoHyphens/>
        <w:overflowPunct w:val="0"/>
        <w:autoSpaceDE w:val="0"/>
        <w:autoSpaceDN w:val="0"/>
        <w:adjustRightInd w:val="0"/>
        <w:spacing w:line="240" w:lineRule="auto"/>
        <w:textAlignment w:val="baseline"/>
        <w:outlineLvl w:val="3"/>
        <w:rPr>
          <w:rFonts w:cs="Arial"/>
          <w:b/>
          <w:szCs w:val="20"/>
          <w:lang w:val="sl-SI"/>
        </w:rPr>
      </w:pPr>
      <w:r w:rsidRPr="006D1761">
        <w:rPr>
          <w:rFonts w:cs="Arial"/>
          <w:b/>
          <w:szCs w:val="20"/>
          <w:lang w:val="sl-SI"/>
        </w:rPr>
        <w:t>1. OCENA STANJA IN RAZLOGI ZA SPREJEM PREDLOGA ZAKONA</w:t>
      </w:r>
    </w:p>
    <w:p w14:paraId="547664AF" w14:textId="77777777" w:rsidR="00A23D5D" w:rsidRPr="006D1761" w:rsidRDefault="00A23D5D" w:rsidP="00A23D5D">
      <w:pPr>
        <w:spacing w:line="240" w:lineRule="auto"/>
        <w:jc w:val="both"/>
        <w:rPr>
          <w:rFonts w:cs="Arial"/>
          <w:szCs w:val="20"/>
          <w:lang w:val="sl-SI"/>
        </w:rPr>
      </w:pPr>
    </w:p>
    <w:p w14:paraId="5B8E0C83" w14:textId="1E75F1CF" w:rsidR="00B71B39" w:rsidRPr="006D1761" w:rsidRDefault="00A23D5D" w:rsidP="00B71B39">
      <w:pPr>
        <w:spacing w:line="276" w:lineRule="auto"/>
        <w:jc w:val="both"/>
        <w:rPr>
          <w:rFonts w:cs="Arial"/>
          <w:szCs w:val="20"/>
          <w:lang w:val="sl-SI"/>
        </w:rPr>
      </w:pPr>
      <w:r w:rsidRPr="006D1761">
        <w:rPr>
          <w:rFonts w:cs="Arial"/>
          <w:szCs w:val="20"/>
          <w:lang w:val="sl-SI"/>
        </w:rPr>
        <w:t>Leta 2016 je Vlada Republike Slovenije sprejela Strategijo kibernetske varnosti, ki je podlaga za pripravo in izvedbo ukrepov na področju zagotavljanja informacijske varnosti.</w:t>
      </w:r>
      <w:r w:rsidRPr="006D1761">
        <w:rPr>
          <w:rFonts w:eastAsia="Calibri" w:cs="Arial"/>
          <w:szCs w:val="20"/>
          <w:lang w:val="sl-SI"/>
        </w:rPr>
        <w:t xml:space="preserve"> </w:t>
      </w:r>
      <w:r w:rsidRPr="006D1761">
        <w:rPr>
          <w:rFonts w:cs="Arial"/>
          <w:szCs w:val="20"/>
          <w:lang w:val="sl-SI"/>
        </w:rPr>
        <w:t>Strategija kibernetske varnosti poudarja pomen vzpostavitve celovitega sistema zagotavljanja kibernetske varnosti kot pomembnega dejavnika varnosti države, ki bo prispeval k zagotovitvi odprtega, varnega in varovanega kibernetskega prostora ter bo podlaga za nemoteno delovanje infrastrukture, pomembne za delovanje državnih organov, gospodarstva in za življenje vsakega posameznika.</w:t>
      </w:r>
      <w:r w:rsidR="00A83F07" w:rsidRPr="006D1761">
        <w:rPr>
          <w:rFonts w:cs="Arial"/>
          <w:szCs w:val="20"/>
          <w:lang w:val="sl-SI"/>
        </w:rPr>
        <w:t xml:space="preserve"> </w:t>
      </w:r>
    </w:p>
    <w:p w14:paraId="4649D3B7" w14:textId="77777777" w:rsidR="00EE08C0" w:rsidRPr="006D1761" w:rsidRDefault="00EE08C0" w:rsidP="00B71B39">
      <w:pPr>
        <w:spacing w:line="276" w:lineRule="auto"/>
        <w:jc w:val="both"/>
        <w:rPr>
          <w:rFonts w:cs="Arial"/>
          <w:szCs w:val="20"/>
          <w:lang w:val="sl-SI"/>
        </w:rPr>
      </w:pPr>
    </w:p>
    <w:p w14:paraId="41DFDCC6" w14:textId="538C5496" w:rsidR="00340608" w:rsidRPr="006D1761" w:rsidRDefault="00340608" w:rsidP="00210C48">
      <w:pPr>
        <w:spacing w:line="276" w:lineRule="auto"/>
        <w:jc w:val="both"/>
        <w:rPr>
          <w:rFonts w:cs="Arial"/>
          <w:szCs w:val="20"/>
          <w:lang w:val="sl-SI"/>
        </w:rPr>
      </w:pPr>
      <w:r w:rsidRPr="006D1761">
        <w:rPr>
          <w:rFonts w:cs="Arial"/>
          <w:szCs w:val="20"/>
          <w:lang w:val="sl-SI"/>
        </w:rPr>
        <w:t>17. aprila 2018 je Državni zbor Republike Slovenij sprejel Zakon o informacijski varnosti (v nadaljevanju besedila: ZInfV), ki ureja področje informacijske varnosti in ukrepe za doseganje visoke ravni varnosti omrežij in informacijskih sistemov v Republiki Sloveniji, ki so bistvenega pomena za nemoteno delovanje države v vseh varnostnih razmerah ter zagotavljajo bistvene storitve za ohranitev ključnih družbenih in gospodarskih dejavnosti v Republiki Sloveniji. Določa minimalne varnostne zahteve in zahteve za priglasitev incidentov za zavezance tega zakona. Prav tako ureja pristojnosti, naloge, organizacijo in delovanje pristojnega nacionalnega organa za informacijsko varnost, enotne kontaktne točke za informacijsko varnost, nacionalne skupine za obravnavo incidentov s področja varnosti elektronskih omrežij in informacij in skupine za obravnavo incidentov s področja varnosti elektronskih omrežij in informacij organov državne uprave na področju zagotavljanja informacijske varnosti.</w:t>
      </w:r>
      <w:r w:rsidR="003B64A0" w:rsidRPr="006D1761">
        <w:rPr>
          <w:rFonts w:cs="Arial"/>
          <w:szCs w:val="20"/>
          <w:lang w:val="sl-SI"/>
        </w:rPr>
        <w:t xml:space="preserve"> Zakon je določil tri kategorije zavezancev: izvajalce bistvenih storitev, organe državne uprave in ponudnike digitalnih storitev. Uredil je tudi področje nadzora, ki je v pristojnosti inšpekcijskega organa, ki je notranja organizacijska enota pristojnega nacionalnega organa za informacijsko varnost.</w:t>
      </w:r>
      <w:r w:rsidR="00210C48" w:rsidRPr="006D1761">
        <w:rPr>
          <w:rFonts w:cs="Arial"/>
          <w:szCs w:val="20"/>
          <w:lang w:val="sl-SI"/>
        </w:rPr>
        <w:t xml:space="preserve"> Zakon ne velja za pravne ali fizične osebe, v kolikor zagotavljajo javna komunikacijska omrežja ali javno dostopne elektronske komunikacijske storitve ter ponudnike storitev zaupanja, za katere veljajo zahteve iz 19. člena Uredbe (EU) št. 910/2014 (tako imenovana Uredba eIDAS).</w:t>
      </w:r>
    </w:p>
    <w:p w14:paraId="6C989814" w14:textId="77777777" w:rsidR="00340608" w:rsidRPr="006D1761" w:rsidRDefault="00340608" w:rsidP="00B71B39">
      <w:pPr>
        <w:spacing w:line="276" w:lineRule="auto"/>
        <w:jc w:val="both"/>
        <w:rPr>
          <w:rFonts w:cs="Arial"/>
          <w:szCs w:val="20"/>
          <w:lang w:val="sl-SI"/>
        </w:rPr>
      </w:pPr>
    </w:p>
    <w:p w14:paraId="69E37680" w14:textId="4D87B425" w:rsidR="00903735" w:rsidRPr="006D1761" w:rsidRDefault="00E3533E" w:rsidP="00B71B39">
      <w:pPr>
        <w:spacing w:line="276" w:lineRule="auto"/>
        <w:jc w:val="both"/>
        <w:rPr>
          <w:rFonts w:eastAsia="Calibri" w:cs="Arial"/>
          <w:szCs w:val="20"/>
          <w:lang w:val="sl-SI"/>
        </w:rPr>
      </w:pPr>
      <w:r w:rsidRPr="006D1761">
        <w:rPr>
          <w:rFonts w:cs="Arial"/>
          <w:szCs w:val="20"/>
          <w:lang w:val="sl-SI"/>
        </w:rPr>
        <w:t xml:space="preserve">Republika Slovenija do sprejema ZInfV ni imela zakonsko urejenega področja zagotavljanja informacijske varnosti. S sprejemom ZInfV smo v slovenski pravni red prenesli Direktivo 2016/1148/ES Evropskega parlamenta in Sveta z dne 6. julija 2016 o ukrepih za visoko skupno raven varnosti omrežij in informacijskih sistemov v Uniji (v nadaljnjem besedilu: Direktiva 2016/1148/ES) ter se primerno odzvali na naraščajoče trend obsega in kompleksnosti  incidentov v kibernetskem prostoru. Zaradi velike odvisnost gospodarstva ter celotne družbe od neprekinjenega delovanja omrežij in informacijskih sistemov nujna celovita ureditev in tudi okrepitev področja zagotavljanja informacijske varnosti. Državo k temu spodbujajo in jo hkrati zavezujejo tudi sprejeti strateški domači in mednarodni dokumenti, na primer Resolucija o strategiji nacionalne varnosti Republike Slovenije </w:t>
      </w:r>
      <w:r w:rsidR="00B71B39" w:rsidRPr="006D1761">
        <w:rPr>
          <w:rFonts w:cs="Arial"/>
          <w:szCs w:val="20"/>
          <w:lang w:val="sl-SI"/>
        </w:rPr>
        <w:t>(Uradni list RS, št. 59/19)</w:t>
      </w:r>
      <w:r w:rsidRPr="006D1761">
        <w:rPr>
          <w:rFonts w:cs="Arial"/>
          <w:szCs w:val="20"/>
          <w:lang w:val="sl-SI"/>
        </w:rPr>
        <w:t xml:space="preserve">. Omenjena resolucija je </w:t>
      </w:r>
      <w:r w:rsidR="00B71B39" w:rsidRPr="006D1761">
        <w:rPr>
          <w:rFonts w:cs="Arial"/>
          <w:szCs w:val="20"/>
          <w:lang w:val="sl-SI"/>
        </w:rPr>
        <w:t>informacijsko-kibernetske grožnje opredelil</w:t>
      </w:r>
      <w:r w:rsidRPr="006D1761">
        <w:rPr>
          <w:rFonts w:cs="Arial"/>
          <w:szCs w:val="20"/>
          <w:lang w:val="sl-SI"/>
        </w:rPr>
        <w:t>a</w:t>
      </w:r>
      <w:r w:rsidR="00B71B39" w:rsidRPr="006D1761">
        <w:rPr>
          <w:rFonts w:cs="Arial"/>
          <w:szCs w:val="20"/>
          <w:lang w:val="sl-SI"/>
        </w:rPr>
        <w:t xml:space="preserve"> kot eno ključnih groženj. Svet za nacionalno varnost (SNAV) je na seji 4. </w:t>
      </w:r>
      <w:r w:rsidR="00167743" w:rsidRPr="006D1761">
        <w:rPr>
          <w:rFonts w:cs="Arial"/>
          <w:szCs w:val="20"/>
          <w:lang w:val="sl-SI"/>
        </w:rPr>
        <w:t>maja</w:t>
      </w:r>
      <w:r w:rsidR="00B71B39" w:rsidRPr="006D1761">
        <w:rPr>
          <w:rFonts w:cs="Arial"/>
          <w:szCs w:val="20"/>
          <w:lang w:val="sl-SI"/>
        </w:rPr>
        <w:t xml:space="preserve"> 2020 sklenil, da Slovenija </w:t>
      </w:r>
      <w:r w:rsidR="00167743" w:rsidRPr="006D1761">
        <w:rPr>
          <w:rFonts w:cs="Arial"/>
          <w:szCs w:val="20"/>
          <w:lang w:val="sl-SI"/>
        </w:rPr>
        <w:t xml:space="preserve">potrebuje </w:t>
      </w:r>
      <w:r w:rsidR="00B71B39" w:rsidRPr="006D1761">
        <w:rPr>
          <w:rFonts w:cs="Arial"/>
          <w:szCs w:val="20"/>
          <w:lang w:val="sl-SI"/>
        </w:rPr>
        <w:t>skupn</w:t>
      </w:r>
      <w:r w:rsidR="00167743" w:rsidRPr="006D1761">
        <w:rPr>
          <w:rFonts w:cs="Arial"/>
          <w:szCs w:val="20"/>
          <w:lang w:val="sl-SI"/>
        </w:rPr>
        <w:t>o</w:t>
      </w:r>
      <w:r w:rsidR="00B71B39" w:rsidRPr="006D1761">
        <w:rPr>
          <w:rFonts w:cs="Arial"/>
          <w:szCs w:val="20"/>
          <w:lang w:val="sl-SI"/>
        </w:rPr>
        <w:t xml:space="preserve"> in celovit</w:t>
      </w:r>
      <w:r w:rsidR="00167743" w:rsidRPr="006D1761">
        <w:rPr>
          <w:rFonts w:cs="Arial"/>
          <w:szCs w:val="20"/>
          <w:lang w:val="sl-SI"/>
        </w:rPr>
        <w:t>o delovanje</w:t>
      </w:r>
      <w:r w:rsidR="00B71B39" w:rsidRPr="006D1761">
        <w:rPr>
          <w:rFonts w:cs="Arial"/>
          <w:szCs w:val="20"/>
          <w:lang w:val="sl-SI"/>
        </w:rPr>
        <w:t xml:space="preserve"> na področju kibernetske varnosti. V okviru predsedovanja Svetu EU v drugi polovici leta 2021 je </w:t>
      </w:r>
      <w:r w:rsidR="00167743" w:rsidRPr="006D1761">
        <w:rPr>
          <w:rFonts w:cs="Arial"/>
          <w:szCs w:val="20"/>
          <w:lang w:val="sl-SI"/>
        </w:rPr>
        <w:t xml:space="preserve">bila </w:t>
      </w:r>
      <w:r w:rsidR="00B71B39" w:rsidRPr="006D1761">
        <w:rPr>
          <w:rFonts w:cs="Arial"/>
          <w:szCs w:val="20"/>
          <w:lang w:val="sl-SI"/>
        </w:rPr>
        <w:t>za eno od strateških tem določena digitalizacij</w:t>
      </w:r>
      <w:r w:rsidR="00903735" w:rsidRPr="006D1761">
        <w:rPr>
          <w:rFonts w:cs="Arial"/>
          <w:szCs w:val="20"/>
          <w:lang w:val="sl-SI"/>
        </w:rPr>
        <w:t>a</w:t>
      </w:r>
      <w:r w:rsidR="00B71B39" w:rsidRPr="006D1761">
        <w:rPr>
          <w:rFonts w:cs="Arial"/>
          <w:szCs w:val="20"/>
          <w:lang w:val="sl-SI"/>
        </w:rPr>
        <w:t>, znotraj nje pa kot pr</w:t>
      </w:r>
      <w:r w:rsidR="00167743" w:rsidRPr="006D1761">
        <w:rPr>
          <w:rFonts w:cs="Arial"/>
          <w:szCs w:val="20"/>
          <w:lang w:val="sl-SI"/>
        </w:rPr>
        <w:t>ednos</w:t>
      </w:r>
      <w:r w:rsidR="00B71B39" w:rsidRPr="006D1761">
        <w:rPr>
          <w:rFonts w:cs="Arial"/>
          <w:szCs w:val="20"/>
          <w:lang w:val="sl-SI"/>
        </w:rPr>
        <w:t xml:space="preserve">tno vprašanje </w:t>
      </w:r>
      <w:r w:rsidR="00B71B39" w:rsidRPr="006D1761">
        <w:rPr>
          <w:rFonts w:cs="Arial"/>
          <w:szCs w:val="20"/>
          <w:lang w:val="sl-SI"/>
        </w:rPr>
        <w:lastRenderedPageBreak/>
        <w:t>ravno kibernetsk</w:t>
      </w:r>
      <w:r w:rsidR="00903735" w:rsidRPr="006D1761">
        <w:rPr>
          <w:rFonts w:cs="Arial"/>
          <w:szCs w:val="20"/>
          <w:lang w:val="sl-SI"/>
        </w:rPr>
        <w:t xml:space="preserve">a </w:t>
      </w:r>
      <w:r w:rsidR="00B71B39" w:rsidRPr="006D1761">
        <w:rPr>
          <w:rFonts w:cs="Arial"/>
          <w:szCs w:val="20"/>
          <w:lang w:val="sl-SI"/>
        </w:rPr>
        <w:t>varnost.</w:t>
      </w:r>
      <w:r w:rsidR="00B71B39" w:rsidRPr="006D1761">
        <w:rPr>
          <w:rFonts w:eastAsia="Calibri" w:cs="Arial"/>
          <w:szCs w:val="20"/>
          <w:lang w:val="sl-SI"/>
        </w:rPr>
        <w:t xml:space="preserve"> </w:t>
      </w:r>
      <w:r w:rsidR="00903735" w:rsidRPr="006D1761">
        <w:rPr>
          <w:rFonts w:eastAsia="Calibri" w:cs="Arial"/>
          <w:szCs w:val="20"/>
          <w:lang w:val="sl-SI"/>
        </w:rPr>
        <w:t>Evropska komisija in Evropska služba za zunanje delovanje sta decembra 2020 predstavili novo strategijo EU za kibernetsko varnost. Njen namen je na</w:t>
      </w:r>
      <w:r w:rsidR="00167743" w:rsidRPr="006D1761">
        <w:rPr>
          <w:rFonts w:eastAsia="Calibri" w:cs="Arial"/>
          <w:szCs w:val="20"/>
          <w:lang w:val="sl-SI"/>
        </w:rPr>
        <w:t>red</w:t>
      </w:r>
      <w:r w:rsidR="00903735" w:rsidRPr="006D1761">
        <w:rPr>
          <w:rFonts w:eastAsia="Calibri" w:cs="Arial"/>
          <w:szCs w:val="20"/>
          <w:lang w:val="sl-SI"/>
        </w:rPr>
        <w:t xml:space="preserve">iti Evropo odpornejšo proti kibernetskim grožnjam ter zagotoviti, da bodo lahko vsi državljani in podjetja uživali vse koristi, ki jih nudijo zaupanja vredne in zanesljive storitve </w:t>
      </w:r>
      <w:r w:rsidR="00167743" w:rsidRPr="006D1761">
        <w:rPr>
          <w:rFonts w:eastAsia="Calibri" w:cs="Arial"/>
          <w:szCs w:val="20"/>
          <w:lang w:val="sl-SI"/>
        </w:rPr>
        <w:t xml:space="preserve">ter </w:t>
      </w:r>
      <w:r w:rsidR="00903735" w:rsidRPr="006D1761">
        <w:rPr>
          <w:rFonts w:eastAsia="Calibri" w:cs="Arial"/>
          <w:szCs w:val="20"/>
          <w:lang w:val="sl-SI"/>
        </w:rPr>
        <w:t xml:space="preserve">digitalna orodja. </w:t>
      </w:r>
      <w:r w:rsidR="00337122" w:rsidRPr="006D1761">
        <w:rPr>
          <w:rFonts w:eastAsia="Calibri" w:cs="Arial"/>
          <w:szCs w:val="20"/>
          <w:lang w:val="sl-SI"/>
        </w:rPr>
        <w:t>Svet EU je 22. marca 2021 sprejel sklepe o strategiji za kibernetsko varnost, v katerih je poudaril, da je kibernetska varnost bistvena za izgradnjo odporne, zelene in digitalne Evrope.</w:t>
      </w:r>
    </w:p>
    <w:p w14:paraId="04783E03" w14:textId="77777777" w:rsidR="003B64A0" w:rsidRPr="006D1761" w:rsidRDefault="003B64A0" w:rsidP="004033BE">
      <w:pPr>
        <w:spacing w:line="276" w:lineRule="auto"/>
        <w:jc w:val="both"/>
        <w:rPr>
          <w:rFonts w:eastAsia="Calibri" w:cs="Arial"/>
          <w:szCs w:val="20"/>
          <w:lang w:val="sl-SI"/>
        </w:rPr>
      </w:pPr>
    </w:p>
    <w:p w14:paraId="2FB9E129" w14:textId="7CE66232" w:rsidR="004033BE" w:rsidRPr="006D1761" w:rsidRDefault="00E3533E" w:rsidP="004033BE">
      <w:pPr>
        <w:spacing w:line="276" w:lineRule="auto"/>
        <w:jc w:val="both"/>
        <w:rPr>
          <w:rFonts w:eastAsia="Calibri" w:cs="Arial"/>
          <w:szCs w:val="20"/>
          <w:lang w:val="sl-SI"/>
        </w:rPr>
      </w:pPr>
      <w:r w:rsidRPr="006D1761">
        <w:rPr>
          <w:rFonts w:eastAsia="Calibri" w:cs="Arial"/>
          <w:szCs w:val="20"/>
          <w:lang w:val="sl-SI"/>
        </w:rPr>
        <w:t>Na podlagi strateških usmeritev in zaznanih pomanjkljivosti sistema informacijsko</w:t>
      </w:r>
      <w:r w:rsidR="00F5028D" w:rsidRPr="006D1761">
        <w:rPr>
          <w:rFonts w:eastAsia="Calibri" w:cs="Arial"/>
          <w:szCs w:val="20"/>
          <w:lang w:val="sl-SI"/>
        </w:rPr>
        <w:t>/</w:t>
      </w:r>
      <w:r w:rsidRPr="006D1761">
        <w:rPr>
          <w:rFonts w:eastAsia="Calibri" w:cs="Arial"/>
          <w:szCs w:val="20"/>
          <w:lang w:val="sl-SI"/>
        </w:rPr>
        <w:t>kibernetske varnosti je bil ZInfV nadgrajen z ustreznimi spremembami in dopolnitvami.</w:t>
      </w:r>
      <w:r w:rsidR="004033BE" w:rsidRPr="006D1761">
        <w:rPr>
          <w:rFonts w:eastAsia="Calibri" w:cs="Arial"/>
          <w:szCs w:val="20"/>
          <w:lang w:val="sl-SI"/>
        </w:rPr>
        <w:t xml:space="preserve"> Novela Zakona o spremembah in dopolnitvi Zakona o informacijski varnosti (v nadaljnjem besedilu: ZInfV-A), ki jo je Državni zbor Republike Slovenije sprejel 4. junija 2021,</w:t>
      </w:r>
      <w:r w:rsidR="00F5028D" w:rsidRPr="006D1761">
        <w:rPr>
          <w:rFonts w:eastAsia="Calibri" w:cs="Arial"/>
          <w:szCs w:val="20"/>
          <w:lang w:val="sl-SI"/>
        </w:rPr>
        <w:t xml:space="preserve"> </w:t>
      </w:r>
      <w:r w:rsidR="004033BE" w:rsidRPr="006D1761">
        <w:rPr>
          <w:rFonts w:eastAsia="Calibri" w:cs="Arial"/>
          <w:szCs w:val="20"/>
          <w:lang w:val="sl-SI"/>
        </w:rPr>
        <w:t>je pristojni nacionalni organ za informacijsko varnost, ki je deloval kot organ v sestavi Ministrstva za javno upravo, preoblikovala v samostojno vladno službo. S tem se je sledilo nacionalnim in mednarodnim izkušnja</w:t>
      </w:r>
      <w:r w:rsidR="00F5028D" w:rsidRPr="006D1761">
        <w:rPr>
          <w:rFonts w:eastAsia="Calibri" w:cs="Arial"/>
          <w:szCs w:val="20"/>
          <w:lang w:val="sl-SI"/>
        </w:rPr>
        <w:t>m</w:t>
      </w:r>
      <w:r w:rsidR="004033BE" w:rsidRPr="006D1761">
        <w:rPr>
          <w:rFonts w:eastAsia="Calibri" w:cs="Arial"/>
          <w:szCs w:val="20"/>
          <w:lang w:val="sl-SI"/>
        </w:rPr>
        <w:t xml:space="preserve">, da so pristojni nacionalni organi za področje informacijske (kibernetske) varnosti postali ključni deležniki v sistemu zagotavljanja nacionalne varnosti sodobnih držav. </w:t>
      </w:r>
      <w:r w:rsidR="00F5028D" w:rsidRPr="006D1761">
        <w:rPr>
          <w:rFonts w:eastAsia="Calibri" w:cs="Arial"/>
          <w:szCs w:val="20"/>
          <w:lang w:val="sl-SI"/>
        </w:rPr>
        <w:t xml:space="preserve">Z ustrezno umestitvijo </w:t>
      </w:r>
      <w:r w:rsidR="004033BE" w:rsidRPr="006D1761">
        <w:rPr>
          <w:rFonts w:eastAsia="Calibri" w:cs="Arial"/>
          <w:szCs w:val="20"/>
          <w:lang w:val="sl-SI"/>
        </w:rPr>
        <w:t>pristojnega nacionalnega organa</w:t>
      </w:r>
      <w:r w:rsidR="00AC6396" w:rsidRPr="006D1761">
        <w:rPr>
          <w:rFonts w:eastAsia="Calibri" w:cs="Arial"/>
          <w:szCs w:val="20"/>
          <w:lang w:val="sl-SI"/>
        </w:rPr>
        <w:t>, ki je prevzel tudi naloge</w:t>
      </w:r>
      <w:r w:rsidR="00AC6396" w:rsidRPr="006D1761">
        <w:rPr>
          <w:lang w:val="sl-SI"/>
        </w:rPr>
        <w:t xml:space="preserve"> </w:t>
      </w:r>
      <w:r w:rsidR="00AC6396" w:rsidRPr="006D1761">
        <w:rPr>
          <w:rFonts w:eastAsia="Calibri" w:cs="Arial"/>
          <w:szCs w:val="20"/>
          <w:lang w:val="sl-SI"/>
        </w:rPr>
        <w:t xml:space="preserve">pripravljanja predlogov predpisov s področja informacijske in kibernetske varnosti ter izvajanje nalog nacionalnega certifikacijskega organa za kibernetsko varnost, </w:t>
      </w:r>
      <w:r w:rsidR="00F5028D" w:rsidRPr="006D1761">
        <w:rPr>
          <w:rFonts w:eastAsia="Calibri" w:cs="Arial"/>
          <w:szCs w:val="20"/>
          <w:lang w:val="sl-SI"/>
        </w:rPr>
        <w:t xml:space="preserve">smo okrepili </w:t>
      </w:r>
      <w:r w:rsidR="004033BE" w:rsidRPr="006D1761">
        <w:rPr>
          <w:rFonts w:eastAsia="Calibri" w:cs="Arial"/>
          <w:szCs w:val="20"/>
          <w:lang w:val="sl-SI"/>
        </w:rPr>
        <w:t>proaktivno vlogo na področju informacijsko kibernetske varnosti.</w:t>
      </w:r>
      <w:r w:rsidR="00AC6396" w:rsidRPr="006D1761">
        <w:rPr>
          <w:rFonts w:eastAsia="Calibri" w:cs="Arial"/>
          <w:szCs w:val="20"/>
          <w:lang w:val="sl-SI"/>
        </w:rPr>
        <w:t xml:space="preserve"> Novela zakona je tudi določila, da naloge CSIRT organov državne uprave izvaja notranja organizacijska enota pristojnega nacionalnega organa. </w:t>
      </w:r>
    </w:p>
    <w:p w14:paraId="3AAB9C99" w14:textId="77777777" w:rsidR="00340608" w:rsidRPr="006D1761" w:rsidRDefault="00340608" w:rsidP="00340608">
      <w:pPr>
        <w:spacing w:line="276" w:lineRule="auto"/>
        <w:jc w:val="both"/>
        <w:rPr>
          <w:rFonts w:eastAsia="Calibri" w:cs="Arial"/>
          <w:szCs w:val="20"/>
          <w:lang w:val="sl-SI"/>
        </w:rPr>
      </w:pPr>
    </w:p>
    <w:p w14:paraId="79BD5817" w14:textId="5D669734" w:rsidR="008D4C6D" w:rsidRPr="006D1761" w:rsidRDefault="004033BE" w:rsidP="008D4C6D">
      <w:pPr>
        <w:overflowPunct w:val="0"/>
        <w:autoSpaceDE w:val="0"/>
        <w:autoSpaceDN w:val="0"/>
        <w:adjustRightInd w:val="0"/>
        <w:jc w:val="both"/>
        <w:textAlignment w:val="baseline"/>
        <w:rPr>
          <w:rFonts w:eastAsia="Calibri" w:cs="Arial"/>
          <w:szCs w:val="20"/>
          <w:lang w:val="sl-SI"/>
        </w:rPr>
      </w:pPr>
      <w:r w:rsidRPr="006D1761">
        <w:rPr>
          <w:rFonts w:cs="Arial"/>
          <w:szCs w:val="20"/>
          <w:lang w:val="sl-SI" w:eastAsia="sl-SI"/>
        </w:rPr>
        <w:t xml:space="preserve">S spremembo Zakona o vladi (ZVRS-J) in posledičnimi spremembami in dopolnitvami Zakona o državni upravi (ZDU-1O) </w:t>
      </w:r>
      <w:r w:rsidR="00F5028D" w:rsidRPr="006D1761">
        <w:rPr>
          <w:rFonts w:cs="Arial"/>
          <w:szCs w:val="20"/>
          <w:lang w:val="sl-SI" w:eastAsia="sl-SI"/>
        </w:rPr>
        <w:t>je</w:t>
      </w:r>
      <w:r w:rsidRPr="006D1761">
        <w:rPr>
          <w:rFonts w:cs="Arial"/>
          <w:szCs w:val="20"/>
          <w:lang w:val="sl-SI" w:eastAsia="sl-SI"/>
        </w:rPr>
        <w:t xml:space="preserve"> pristojnost upravljanja s </w:t>
      </w:r>
      <w:bookmarkStart w:id="4" w:name="_Hlk125623056"/>
      <w:r w:rsidRPr="006D1761">
        <w:rPr>
          <w:lang w:val="sl-SI"/>
        </w:rPr>
        <w:t xml:space="preserve">centralnim državnim informacijsko-komunikacijskim omrežjem oziroma sistemom (v nadaljnjem besedilu: centralni informacijsko-komunikacijski sistem) </w:t>
      </w:r>
      <w:bookmarkEnd w:id="4"/>
      <w:r w:rsidRPr="006D1761">
        <w:rPr>
          <w:lang w:val="sl-SI"/>
        </w:rPr>
        <w:t xml:space="preserve">iz ministrstva, pristojnega za javno upravo, ki je (bilo) pristojno za informacijsko varnost v centralnem informacijsko-komunikacijskim sistemom, prešla na novo ministrstvo, za digitalno preobrazbo. </w:t>
      </w:r>
      <w:r w:rsidR="00AC6396" w:rsidRPr="006D1761">
        <w:rPr>
          <w:lang w:val="sl-SI"/>
        </w:rPr>
        <w:t>I</w:t>
      </w:r>
      <w:r w:rsidRPr="006D1761">
        <w:rPr>
          <w:lang w:val="sl-SI"/>
        </w:rPr>
        <w:t>zvajanja enotne informacijske varnostne politike</w:t>
      </w:r>
      <w:r w:rsidR="00AC6396" w:rsidRPr="006D1761">
        <w:rPr>
          <w:lang w:val="sl-SI"/>
        </w:rPr>
        <w:t xml:space="preserve"> se je </w:t>
      </w:r>
      <w:r w:rsidRPr="006D1761">
        <w:rPr>
          <w:lang w:val="sl-SI"/>
        </w:rPr>
        <w:t>prenes</w:t>
      </w:r>
      <w:r w:rsidR="00AC6396" w:rsidRPr="006D1761">
        <w:rPr>
          <w:lang w:val="sl-SI"/>
        </w:rPr>
        <w:t>lo</w:t>
      </w:r>
      <w:r w:rsidRPr="006D1761">
        <w:rPr>
          <w:lang w:val="sl-SI"/>
        </w:rPr>
        <w:t xml:space="preserve"> na pristojn</w:t>
      </w:r>
      <w:r w:rsidR="008D4C6D" w:rsidRPr="006D1761">
        <w:rPr>
          <w:lang w:val="sl-SI"/>
        </w:rPr>
        <w:t>i</w:t>
      </w:r>
      <w:r w:rsidRPr="006D1761">
        <w:rPr>
          <w:lang w:val="sl-SI"/>
        </w:rPr>
        <w:t xml:space="preserve"> nacionalni organ za informacijsko varnost. </w:t>
      </w:r>
      <w:r w:rsidR="008D4C6D" w:rsidRPr="006D1761">
        <w:rPr>
          <w:rFonts w:eastAsia="Calibri" w:cs="Arial"/>
          <w:szCs w:val="20"/>
          <w:lang w:val="sl-SI"/>
        </w:rPr>
        <w:t>Novela zakona je tudi nadgradila pristojnosti in naloge CSIRT organov državne uprave ter obveznosti upravitelja centralnega informacijsko-komunikacijskega sistema. Novela je uvedla tudi ustrezne nadzorstvene določbe za nove subjekte.</w:t>
      </w:r>
    </w:p>
    <w:p w14:paraId="4E0C5D17" w14:textId="6FE96396" w:rsidR="008D4C6D" w:rsidRPr="006D1761" w:rsidRDefault="008D4C6D" w:rsidP="004033BE">
      <w:pPr>
        <w:overflowPunct w:val="0"/>
        <w:autoSpaceDE w:val="0"/>
        <w:autoSpaceDN w:val="0"/>
        <w:adjustRightInd w:val="0"/>
        <w:jc w:val="both"/>
        <w:textAlignment w:val="baseline"/>
        <w:rPr>
          <w:rFonts w:cs="Arial"/>
          <w:szCs w:val="20"/>
          <w:highlight w:val="green"/>
          <w:lang w:val="sl-SI" w:eastAsia="sl-SI"/>
        </w:rPr>
      </w:pPr>
    </w:p>
    <w:p w14:paraId="28D397C0" w14:textId="3D4EA3FB" w:rsidR="008D4C6D" w:rsidRPr="006D1761" w:rsidRDefault="008D4C6D" w:rsidP="004033BE">
      <w:pPr>
        <w:overflowPunct w:val="0"/>
        <w:autoSpaceDE w:val="0"/>
        <w:autoSpaceDN w:val="0"/>
        <w:adjustRightInd w:val="0"/>
        <w:jc w:val="both"/>
        <w:textAlignment w:val="baseline"/>
        <w:rPr>
          <w:rFonts w:cs="Arial"/>
          <w:b/>
          <w:bCs/>
          <w:szCs w:val="20"/>
          <w:lang w:val="sl-SI" w:eastAsia="sl-SI"/>
        </w:rPr>
      </w:pPr>
      <w:r w:rsidRPr="006D1761">
        <w:rPr>
          <w:rFonts w:cs="Arial"/>
          <w:b/>
          <w:bCs/>
          <w:szCs w:val="20"/>
          <w:lang w:val="sl-SI" w:eastAsia="sl-SI"/>
        </w:rPr>
        <w:t>Organiziranost nacionalnega sistema kibernetske varnosti</w:t>
      </w:r>
    </w:p>
    <w:p w14:paraId="2DCDE304" w14:textId="77777777" w:rsidR="004033BE" w:rsidRPr="006D1761" w:rsidRDefault="004033BE" w:rsidP="004033BE">
      <w:pPr>
        <w:overflowPunct w:val="0"/>
        <w:autoSpaceDE w:val="0"/>
        <w:autoSpaceDN w:val="0"/>
        <w:adjustRightInd w:val="0"/>
        <w:jc w:val="both"/>
        <w:textAlignment w:val="baseline"/>
        <w:rPr>
          <w:rFonts w:cs="Arial"/>
          <w:szCs w:val="20"/>
          <w:highlight w:val="green"/>
          <w:lang w:val="sl-SI" w:eastAsia="sl-SI"/>
        </w:rPr>
      </w:pPr>
    </w:p>
    <w:p w14:paraId="30388616" w14:textId="77777777" w:rsidR="00F5028D" w:rsidRPr="006D1761" w:rsidRDefault="00F5028D" w:rsidP="00F5028D">
      <w:pPr>
        <w:spacing w:line="276" w:lineRule="auto"/>
        <w:jc w:val="both"/>
        <w:rPr>
          <w:rFonts w:eastAsia="Calibri" w:cs="Arial"/>
          <w:szCs w:val="20"/>
          <w:lang w:val="sl-SI"/>
        </w:rPr>
      </w:pPr>
      <w:r w:rsidRPr="006D1761">
        <w:rPr>
          <w:rFonts w:eastAsia="Calibri" w:cs="Arial"/>
          <w:szCs w:val="20"/>
          <w:lang w:val="sl-SI"/>
        </w:rPr>
        <w:t>Nacionalni sistem informacijske/kibernetske varnosti je razdeljen na tri ravni:</w:t>
      </w:r>
    </w:p>
    <w:p w14:paraId="44F0A517" w14:textId="77777777" w:rsidR="00491584" w:rsidRPr="006D1761" w:rsidRDefault="00491584" w:rsidP="00F5028D">
      <w:pPr>
        <w:spacing w:line="276" w:lineRule="auto"/>
        <w:jc w:val="both"/>
        <w:rPr>
          <w:rFonts w:eastAsia="Calibri" w:cs="Arial"/>
          <w:szCs w:val="20"/>
          <w:lang w:val="sl-SI"/>
        </w:rPr>
      </w:pPr>
    </w:p>
    <w:p w14:paraId="037CD1A0" w14:textId="77777777" w:rsidR="00F5028D" w:rsidRPr="006D1761" w:rsidRDefault="00F5028D" w:rsidP="00210C48">
      <w:pPr>
        <w:spacing w:line="276" w:lineRule="auto"/>
        <w:ind w:left="567"/>
        <w:jc w:val="both"/>
        <w:rPr>
          <w:rFonts w:eastAsia="Calibri" w:cs="Arial"/>
          <w:szCs w:val="20"/>
          <w:lang w:val="sl-SI"/>
        </w:rPr>
      </w:pPr>
      <w:r w:rsidRPr="006D1761">
        <w:rPr>
          <w:rFonts w:eastAsia="Calibri" w:cs="Arial"/>
          <w:szCs w:val="20"/>
          <w:lang w:val="sl-SI"/>
        </w:rPr>
        <w:t>-</w:t>
      </w:r>
      <w:r w:rsidRPr="006D1761">
        <w:rPr>
          <w:rFonts w:eastAsia="Calibri" w:cs="Arial"/>
          <w:szCs w:val="20"/>
          <w:lang w:val="sl-SI"/>
        </w:rPr>
        <w:tab/>
        <w:t>strateško-koordinacijsko (URSIV kot pristojni nacionalni organ za informacijsko varnost – PNO);</w:t>
      </w:r>
    </w:p>
    <w:p w14:paraId="668297DD" w14:textId="507E0C31" w:rsidR="00F5028D" w:rsidRPr="006D1761" w:rsidRDefault="00F5028D" w:rsidP="00210C48">
      <w:pPr>
        <w:spacing w:line="276" w:lineRule="auto"/>
        <w:ind w:left="567"/>
        <w:jc w:val="both"/>
        <w:rPr>
          <w:rFonts w:eastAsia="Calibri" w:cs="Arial"/>
          <w:szCs w:val="20"/>
          <w:lang w:val="sl-SI"/>
        </w:rPr>
      </w:pPr>
      <w:r w:rsidRPr="006D1761">
        <w:rPr>
          <w:rFonts w:eastAsia="Calibri" w:cs="Arial"/>
          <w:szCs w:val="20"/>
          <w:lang w:val="sl-SI"/>
        </w:rPr>
        <w:t>-</w:t>
      </w:r>
      <w:r w:rsidRPr="006D1761">
        <w:rPr>
          <w:rFonts w:eastAsia="Calibri" w:cs="Arial"/>
          <w:szCs w:val="20"/>
          <w:lang w:val="sl-SI"/>
        </w:rPr>
        <w:tab/>
        <w:t>operativno oziroma raven zaznavanja in odzivanja na incidente (SI-CERT kot nacionalni CSIRT, SIGOV-CERT kot CSIRT organov državne uprave in varnostno-operativni centri MNZ/Policija, SOVA, MO</w:t>
      </w:r>
      <w:r w:rsidR="008D4C6D" w:rsidRPr="006D1761">
        <w:rPr>
          <w:rFonts w:eastAsia="Calibri" w:cs="Arial"/>
          <w:szCs w:val="20"/>
          <w:lang w:val="sl-SI"/>
        </w:rPr>
        <w:t>, MDP</w:t>
      </w:r>
      <w:r w:rsidRPr="006D1761">
        <w:rPr>
          <w:rFonts w:eastAsia="Calibri" w:cs="Arial"/>
          <w:szCs w:val="20"/>
          <w:lang w:val="sl-SI"/>
        </w:rPr>
        <w:t>);</w:t>
      </w:r>
    </w:p>
    <w:p w14:paraId="3B08EC57" w14:textId="38FE5F50" w:rsidR="00F5028D" w:rsidRPr="006D1761" w:rsidRDefault="00F5028D" w:rsidP="00210C48">
      <w:pPr>
        <w:spacing w:line="276" w:lineRule="auto"/>
        <w:ind w:left="567"/>
        <w:jc w:val="both"/>
        <w:rPr>
          <w:rFonts w:eastAsia="Calibri" w:cs="Arial"/>
          <w:szCs w:val="20"/>
          <w:lang w:val="sl-SI"/>
        </w:rPr>
      </w:pPr>
      <w:r w:rsidRPr="006D1761">
        <w:rPr>
          <w:rFonts w:eastAsia="Calibri" w:cs="Arial"/>
          <w:szCs w:val="20"/>
          <w:lang w:val="sl-SI"/>
        </w:rPr>
        <w:t>-</w:t>
      </w:r>
      <w:r w:rsidRPr="006D1761">
        <w:rPr>
          <w:rFonts w:eastAsia="Calibri" w:cs="Arial"/>
          <w:szCs w:val="20"/>
          <w:lang w:val="sl-SI"/>
        </w:rPr>
        <w:tab/>
        <w:t>raven zavezancev (izvajalci bistvenih storitev, ponudniki digitalnih storitev, organi državne uprave</w:t>
      </w:r>
      <w:r w:rsidR="00210C48" w:rsidRPr="006D1761">
        <w:rPr>
          <w:rFonts w:eastAsia="Calibri" w:cs="Arial"/>
          <w:szCs w:val="20"/>
          <w:lang w:val="sl-SI"/>
        </w:rPr>
        <w:t>, povezani subjekti</w:t>
      </w:r>
      <w:r w:rsidRPr="006D1761">
        <w:rPr>
          <w:rFonts w:eastAsia="Calibri" w:cs="Arial"/>
          <w:szCs w:val="20"/>
          <w:lang w:val="sl-SI"/>
        </w:rPr>
        <w:t>).</w:t>
      </w:r>
    </w:p>
    <w:p w14:paraId="605F88BD" w14:textId="77777777" w:rsidR="00F5028D" w:rsidRPr="006D1761" w:rsidRDefault="00F5028D" w:rsidP="00F5028D">
      <w:pPr>
        <w:spacing w:line="276" w:lineRule="auto"/>
        <w:jc w:val="both"/>
        <w:rPr>
          <w:rFonts w:eastAsia="Calibri" w:cs="Arial"/>
          <w:szCs w:val="20"/>
          <w:highlight w:val="cyan"/>
          <w:lang w:val="sl-SI"/>
        </w:rPr>
      </w:pPr>
    </w:p>
    <w:p w14:paraId="4C0DB145" w14:textId="77777777" w:rsidR="00F5028D" w:rsidRPr="006D1761" w:rsidRDefault="00F5028D" w:rsidP="00F5028D">
      <w:pPr>
        <w:spacing w:line="276" w:lineRule="auto"/>
        <w:jc w:val="both"/>
        <w:rPr>
          <w:rFonts w:eastAsia="Calibri" w:cs="Arial"/>
          <w:szCs w:val="20"/>
          <w:lang w:val="sl-SI"/>
        </w:rPr>
      </w:pPr>
      <w:r w:rsidRPr="006D1761">
        <w:rPr>
          <w:rFonts w:eastAsia="Calibri" w:cs="Arial"/>
          <w:szCs w:val="20"/>
          <w:lang w:val="sl-SI"/>
        </w:rPr>
        <w:t xml:space="preserve">Osrednja naloga PNO na strateški koordinacijski ravni nacionalnega sistema informacijske/kibernetske varnosti je skrb za pripravo in izvajanje strategije ter normativno urejanje področja kibernetske varnosti. Naloga PNO je usklajevanje organov in organizacij, ki delujejo na področju informacijske/kibernetske varnosti (nacionalni CSIRT, CSIRT organov državne uprave, varnostno-operativni centri, regulatorji oziroma nadzorniki področij iz drugega odstavka 5. člena ZInfV, Agencija za komunikacijska omrežja in storitve Republike Slovenije, Informacijski pooblaščenec, organi kazenskega pregona in ponudniki varnostnih rešitev), ter v odnosu do mednarodnih deležnikov. Za zagotavljanje čezmejnega sodelovanja URSIV izvaja naloge enotne kontaktne točke, kar pomeni predvsem sooblikovanje politik na tem vsebinskem </w:t>
      </w:r>
      <w:r w:rsidRPr="006D1761">
        <w:rPr>
          <w:rFonts w:eastAsia="Calibri" w:cs="Arial"/>
          <w:szCs w:val="20"/>
          <w:lang w:val="sl-SI"/>
        </w:rPr>
        <w:lastRenderedPageBreak/>
        <w:t>področju v okviru organizacij EU, NATO, OVSE, OZN. V zvezi s tem sta ključna izmenjava in usklajevanje stališč z drugimi pristojnimi organi na državni ravni (MO, MNZ, MZZ, SOVA, UVTP, SI-CERT). S tega vidika se izvaja tudi redno letno poročanje glede na vprašalnike NATA in EU (ENISA).</w:t>
      </w:r>
    </w:p>
    <w:p w14:paraId="44569283" w14:textId="77777777" w:rsidR="00F5028D" w:rsidRPr="006D1761" w:rsidRDefault="00F5028D" w:rsidP="00F5028D">
      <w:pPr>
        <w:spacing w:line="276" w:lineRule="auto"/>
        <w:jc w:val="both"/>
        <w:rPr>
          <w:rFonts w:eastAsia="Calibri" w:cs="Arial"/>
          <w:szCs w:val="20"/>
          <w:highlight w:val="cyan"/>
          <w:lang w:val="sl-SI"/>
        </w:rPr>
      </w:pPr>
    </w:p>
    <w:p w14:paraId="69D00EB8" w14:textId="44561D95" w:rsidR="00210C48" w:rsidRPr="006D1761" w:rsidRDefault="00340608" w:rsidP="00340608">
      <w:pPr>
        <w:spacing w:line="276" w:lineRule="auto"/>
        <w:jc w:val="both"/>
        <w:rPr>
          <w:rFonts w:eastAsia="Calibri" w:cs="Arial"/>
          <w:szCs w:val="20"/>
          <w:lang w:val="sl-SI"/>
        </w:rPr>
      </w:pPr>
      <w:r w:rsidRPr="006D1761">
        <w:rPr>
          <w:rFonts w:eastAsia="Calibri" w:cs="Arial"/>
          <w:szCs w:val="20"/>
          <w:lang w:val="sl-SI"/>
        </w:rPr>
        <w:t xml:space="preserve">Na operativni ravni sistema so zmogljivosti za odzivanje na incidente v kibernetskem prostoru porazdeljene med SI-CERT kot nacionalni odzivni center za omrežne incidente, </w:t>
      </w:r>
      <w:r w:rsidR="00210C48" w:rsidRPr="006D1761">
        <w:rPr>
          <w:rFonts w:eastAsia="Calibri" w:cs="Arial"/>
          <w:szCs w:val="20"/>
          <w:lang w:val="sl-SI"/>
        </w:rPr>
        <w:t>SIGOV-CERT kot CSIRT organov državne uprave, ki deluje v okviru PNO ter varnostno operativne centre</w:t>
      </w:r>
      <w:r w:rsidRPr="006D1761">
        <w:rPr>
          <w:rFonts w:eastAsia="Calibri" w:cs="Arial"/>
          <w:szCs w:val="20"/>
          <w:lang w:val="sl-SI"/>
        </w:rPr>
        <w:t xml:space="preserve"> Ministrstv</w:t>
      </w:r>
      <w:r w:rsidR="00210C48" w:rsidRPr="006D1761">
        <w:rPr>
          <w:rFonts w:eastAsia="Calibri" w:cs="Arial"/>
          <w:szCs w:val="20"/>
          <w:lang w:val="sl-SI"/>
        </w:rPr>
        <w:t>a</w:t>
      </w:r>
      <w:r w:rsidRPr="006D1761">
        <w:rPr>
          <w:rFonts w:eastAsia="Calibri" w:cs="Arial"/>
          <w:szCs w:val="20"/>
          <w:lang w:val="sl-SI"/>
        </w:rPr>
        <w:t xml:space="preserve"> za obrambo, Slovensk</w:t>
      </w:r>
      <w:r w:rsidR="00210C48" w:rsidRPr="006D1761">
        <w:rPr>
          <w:rFonts w:eastAsia="Calibri" w:cs="Arial"/>
          <w:szCs w:val="20"/>
          <w:lang w:val="sl-SI"/>
        </w:rPr>
        <w:t>e</w:t>
      </w:r>
      <w:r w:rsidRPr="006D1761">
        <w:rPr>
          <w:rFonts w:eastAsia="Calibri" w:cs="Arial"/>
          <w:szCs w:val="20"/>
          <w:lang w:val="sl-SI"/>
        </w:rPr>
        <w:t xml:space="preserve"> obveščevalno-varnostn</w:t>
      </w:r>
      <w:r w:rsidR="00210C48" w:rsidRPr="006D1761">
        <w:rPr>
          <w:rFonts w:eastAsia="Calibri" w:cs="Arial"/>
          <w:szCs w:val="20"/>
          <w:lang w:val="sl-SI"/>
        </w:rPr>
        <w:t>e</w:t>
      </w:r>
      <w:r w:rsidRPr="006D1761">
        <w:rPr>
          <w:rFonts w:eastAsia="Calibri" w:cs="Arial"/>
          <w:szCs w:val="20"/>
          <w:lang w:val="sl-SI"/>
        </w:rPr>
        <w:t xml:space="preserve"> agencij</w:t>
      </w:r>
      <w:r w:rsidR="00210C48" w:rsidRPr="006D1761">
        <w:rPr>
          <w:rFonts w:eastAsia="Calibri" w:cs="Arial"/>
          <w:szCs w:val="20"/>
          <w:lang w:val="sl-SI"/>
        </w:rPr>
        <w:t>e, Policije in Ministrstva za digitalno preobrazbo.</w:t>
      </w:r>
    </w:p>
    <w:p w14:paraId="1F632221" w14:textId="77777777" w:rsidR="00210C48" w:rsidRPr="006D1761" w:rsidRDefault="00210C48" w:rsidP="00340608">
      <w:pPr>
        <w:spacing w:line="276" w:lineRule="auto"/>
        <w:jc w:val="both"/>
        <w:rPr>
          <w:rFonts w:eastAsia="Calibri" w:cs="Arial"/>
          <w:szCs w:val="20"/>
          <w:lang w:val="sl-SI"/>
        </w:rPr>
      </w:pPr>
    </w:p>
    <w:p w14:paraId="189578A5" w14:textId="5DC309AD" w:rsidR="00210C48" w:rsidRPr="006D1761" w:rsidRDefault="00EE5923" w:rsidP="00340608">
      <w:pPr>
        <w:spacing w:line="276" w:lineRule="auto"/>
        <w:jc w:val="both"/>
        <w:rPr>
          <w:rFonts w:cs="Arial"/>
          <w:b/>
          <w:bCs/>
          <w:szCs w:val="20"/>
          <w:lang w:val="sl-SI" w:eastAsia="sl-SI"/>
        </w:rPr>
      </w:pPr>
      <w:r w:rsidRPr="006D1761">
        <w:rPr>
          <w:rFonts w:cs="Arial"/>
          <w:b/>
          <w:bCs/>
          <w:szCs w:val="20"/>
          <w:lang w:val="sl-SI" w:eastAsia="sl-SI"/>
        </w:rPr>
        <w:t>Direktiva (EU) 2022/2555</w:t>
      </w:r>
    </w:p>
    <w:p w14:paraId="2C24E644" w14:textId="77777777" w:rsidR="00EE5923" w:rsidRPr="006D1761" w:rsidRDefault="00EE5923" w:rsidP="00340608">
      <w:pPr>
        <w:spacing w:line="276" w:lineRule="auto"/>
        <w:jc w:val="both"/>
        <w:rPr>
          <w:rFonts w:eastAsia="Calibri" w:cs="Arial"/>
          <w:szCs w:val="20"/>
          <w:lang w:val="sl-SI"/>
        </w:rPr>
      </w:pPr>
    </w:p>
    <w:p w14:paraId="5B89B1B7" w14:textId="77777777" w:rsidR="006B38A8" w:rsidRPr="006D1761" w:rsidRDefault="006B38A8" w:rsidP="006B38A8">
      <w:pPr>
        <w:overflowPunct w:val="0"/>
        <w:autoSpaceDE w:val="0"/>
        <w:autoSpaceDN w:val="0"/>
        <w:adjustRightInd w:val="0"/>
        <w:jc w:val="both"/>
        <w:textAlignment w:val="baseline"/>
        <w:rPr>
          <w:rFonts w:cs="Arial"/>
          <w:szCs w:val="20"/>
          <w:lang w:val="sl-SI" w:eastAsia="sl-SI"/>
        </w:rPr>
      </w:pPr>
      <w:r w:rsidRPr="006D1761">
        <w:rPr>
          <w:rFonts w:cs="Arial"/>
          <w:szCs w:val="20"/>
          <w:lang w:val="sl-SI" w:eastAsia="sl-SI"/>
        </w:rPr>
        <w:t xml:space="preserve">Namen </w:t>
      </w:r>
      <w:r w:rsidR="00EE5923" w:rsidRPr="006D1761">
        <w:rPr>
          <w:rFonts w:cs="Arial"/>
          <w:szCs w:val="20"/>
          <w:lang w:val="sl-SI" w:eastAsia="sl-SI"/>
        </w:rPr>
        <w:t>Direkti</w:t>
      </w:r>
      <w:r w:rsidRPr="006D1761">
        <w:rPr>
          <w:rFonts w:cs="Arial"/>
          <w:szCs w:val="20"/>
          <w:lang w:val="sl-SI" w:eastAsia="sl-SI"/>
        </w:rPr>
        <w:t>ve</w:t>
      </w:r>
      <w:r w:rsidR="00EE5923" w:rsidRPr="006D1761">
        <w:rPr>
          <w:rFonts w:cs="Arial"/>
          <w:szCs w:val="20"/>
          <w:lang w:val="sl-SI" w:eastAsia="sl-SI"/>
        </w:rPr>
        <w:t xml:space="preserve"> (EU) 2022/2555 Evropskega parlamenta in Sveta z dne 14. decembra 2022 o ukrepih za visoko skupno raven kibernetske varnosti v Uniji, spremembi Uredbe (EU) št. 910/2014 in Direktive (EU) 2018/1972 ter razveljavitvi Direktive (EU) 2016/1148 (Direktiva NIS 2) (UL L št. 333/142, z dne 27. 12. 2022, str.80.), nazadnje popravljena s Popravkom Direktive (EU) 2022/2555 Evropskega parlamenta in Sveta z dne 14. decembra 2022 o ukrepih za visoko skupno raven kibernetske varnosti v Uniji, spremembi Uredbe (EU) št. 910/2014 in Direktive (EU) 2018/1972 ter razveljavitvi Direktive (EU) 2016/1148 (Direktiva NIS 2) (UL L št. 239 z dne 28. 9. 2023, str. 48) (v nadaljnjem besedilu: Direktiva (EU) 2022/2555)</w:t>
      </w:r>
      <w:r w:rsidRPr="006D1761">
        <w:rPr>
          <w:rFonts w:cs="Arial"/>
          <w:szCs w:val="20"/>
          <w:lang w:val="sl-SI" w:eastAsia="sl-SI"/>
        </w:rPr>
        <w:t xml:space="preserve"> je določiti ukrepe, katerih cilj je zagotoviti visoko skupno raven kibernetske varnosti v Evropski uniji, da bi se izboljšalo delovanje notranjega trga. V ta namen direktiva določa obveznosti, ki od držav članic zahtevajo, da sprejmejo: </w:t>
      </w:r>
    </w:p>
    <w:p w14:paraId="11E2BA56" w14:textId="2987D882" w:rsidR="006B38A8" w:rsidRPr="006D1761" w:rsidRDefault="006B38A8" w:rsidP="006B38A8">
      <w:pPr>
        <w:overflowPunct w:val="0"/>
        <w:autoSpaceDE w:val="0"/>
        <w:autoSpaceDN w:val="0"/>
        <w:adjustRightInd w:val="0"/>
        <w:jc w:val="both"/>
        <w:textAlignment w:val="baseline"/>
        <w:rPr>
          <w:rFonts w:cs="Arial"/>
          <w:szCs w:val="20"/>
          <w:lang w:val="sl-SI" w:eastAsia="sl-SI"/>
        </w:rPr>
      </w:pPr>
      <w:r w:rsidRPr="006D1761">
        <w:rPr>
          <w:rFonts w:cs="Arial"/>
          <w:szCs w:val="20"/>
          <w:lang w:val="sl-SI" w:eastAsia="sl-SI"/>
        </w:rPr>
        <w:t>- nacionalne strategije za kibernetsko varnost in imenujejo ali ustanovijo pristojne organe, organe za obvladovanje kibernetskih kriz, enotne kontaktne točke za kibernetsko varnost (v nadaljnjem besedilu: enotne kontaktne točke) in skupine za odzivanje na incidente na področju računalniške varnosti (v nadaljnjem besedilu: skupine CSIRT);</w:t>
      </w:r>
    </w:p>
    <w:p w14:paraId="280DCC30" w14:textId="77777777" w:rsidR="006B38A8" w:rsidRPr="006D1761" w:rsidRDefault="006B38A8" w:rsidP="006B38A8">
      <w:pPr>
        <w:overflowPunct w:val="0"/>
        <w:autoSpaceDE w:val="0"/>
        <w:autoSpaceDN w:val="0"/>
        <w:adjustRightInd w:val="0"/>
        <w:jc w:val="both"/>
        <w:textAlignment w:val="baseline"/>
        <w:rPr>
          <w:rFonts w:cs="Arial"/>
          <w:szCs w:val="20"/>
          <w:lang w:val="sl-SI" w:eastAsia="sl-SI"/>
        </w:rPr>
      </w:pPr>
      <w:r w:rsidRPr="006D1761">
        <w:rPr>
          <w:rFonts w:cs="Arial"/>
          <w:szCs w:val="20"/>
          <w:lang w:val="sl-SI" w:eastAsia="sl-SI"/>
        </w:rPr>
        <w:t>- ukrepe za obvladovanja tveganj za kibernetsko varnost in obveznosti poročanja za subjekte vrste iz Priloge I ali II, kot tudi za subjekte, ki so identificirani kot kritični subjekti na podlagi Direktive (EU) 2022/2557;</w:t>
      </w:r>
    </w:p>
    <w:p w14:paraId="7FE8C27E" w14:textId="2151550F" w:rsidR="006B38A8" w:rsidRPr="006D1761" w:rsidRDefault="006B38A8" w:rsidP="006B38A8">
      <w:pPr>
        <w:overflowPunct w:val="0"/>
        <w:autoSpaceDE w:val="0"/>
        <w:autoSpaceDN w:val="0"/>
        <w:adjustRightInd w:val="0"/>
        <w:jc w:val="both"/>
        <w:textAlignment w:val="baseline"/>
        <w:rPr>
          <w:rFonts w:cs="Arial"/>
          <w:szCs w:val="20"/>
          <w:lang w:val="sl-SI" w:eastAsia="sl-SI"/>
        </w:rPr>
      </w:pPr>
      <w:r w:rsidRPr="006D1761">
        <w:rPr>
          <w:rFonts w:cs="Arial"/>
          <w:szCs w:val="20"/>
          <w:lang w:val="sl-SI" w:eastAsia="sl-SI"/>
        </w:rPr>
        <w:t>- pravila in obveznosti glede izmenjave informacij o kibernetski varnosti;</w:t>
      </w:r>
    </w:p>
    <w:p w14:paraId="480917E9" w14:textId="70C38F01" w:rsidR="00EE5923" w:rsidRPr="006D1761" w:rsidRDefault="006B38A8" w:rsidP="006B38A8">
      <w:pPr>
        <w:overflowPunct w:val="0"/>
        <w:autoSpaceDE w:val="0"/>
        <w:autoSpaceDN w:val="0"/>
        <w:adjustRightInd w:val="0"/>
        <w:jc w:val="both"/>
        <w:textAlignment w:val="baseline"/>
        <w:rPr>
          <w:rFonts w:cs="Arial"/>
          <w:szCs w:val="20"/>
          <w:lang w:val="sl-SI" w:eastAsia="sl-SI"/>
        </w:rPr>
      </w:pPr>
      <w:r w:rsidRPr="006D1761">
        <w:rPr>
          <w:rFonts w:cs="Arial"/>
          <w:szCs w:val="20"/>
          <w:lang w:val="sl-SI" w:eastAsia="sl-SI"/>
        </w:rPr>
        <w:t>- obveznosti nadzora in izvrševanja za države članice.</w:t>
      </w:r>
    </w:p>
    <w:p w14:paraId="01172511" w14:textId="77777777" w:rsidR="00EE5923" w:rsidRPr="006D1761" w:rsidRDefault="00EE5923" w:rsidP="00EE5923">
      <w:pPr>
        <w:overflowPunct w:val="0"/>
        <w:autoSpaceDE w:val="0"/>
        <w:autoSpaceDN w:val="0"/>
        <w:adjustRightInd w:val="0"/>
        <w:jc w:val="both"/>
        <w:textAlignment w:val="baseline"/>
        <w:rPr>
          <w:rFonts w:cs="Arial"/>
          <w:szCs w:val="20"/>
          <w:lang w:val="sl-SI" w:eastAsia="sl-SI"/>
        </w:rPr>
      </w:pPr>
    </w:p>
    <w:p w14:paraId="441C4105" w14:textId="77777777" w:rsidR="001D2BD9" w:rsidRPr="006D1761" w:rsidRDefault="008B41E4" w:rsidP="001D2BD9">
      <w:pPr>
        <w:overflowPunct w:val="0"/>
        <w:autoSpaceDE w:val="0"/>
        <w:autoSpaceDN w:val="0"/>
        <w:adjustRightInd w:val="0"/>
        <w:jc w:val="both"/>
        <w:textAlignment w:val="baseline"/>
        <w:rPr>
          <w:rFonts w:cs="Arial"/>
          <w:szCs w:val="20"/>
          <w:lang w:val="sl-SI" w:eastAsia="sl-SI"/>
        </w:rPr>
      </w:pPr>
      <w:r w:rsidRPr="006D1761">
        <w:rPr>
          <w:rFonts w:cs="Arial"/>
          <w:szCs w:val="20"/>
          <w:lang w:val="sl-SI" w:eastAsia="sl-SI"/>
        </w:rPr>
        <w:t>Direktiva (EU) 2022/2555 prinaša veliko sprememb na področju kibernetske varnosti in vpliva ne le na subjekte, ki so že zavezanci po ZInfV in morajo varovati svoje informacijske sisteme v skladu z veljavnim ZInfV, ampak tudi na veliko število subjektov, ki jih bo nova ureditev zajela in doslej niso bili dolžni izpolnjevati nobenih obveznosti ter so incidente priglašali na prostovoljni podlagi</w:t>
      </w:r>
      <w:r w:rsidR="001D2BD9" w:rsidRPr="006D1761">
        <w:rPr>
          <w:rFonts w:cs="Arial"/>
          <w:szCs w:val="20"/>
          <w:lang w:val="sl-SI" w:eastAsia="sl-SI"/>
        </w:rPr>
        <w:t xml:space="preserve">. Direktiva krepi skupno situacijsko zavedanje in kolektivno sposobnost odzivanja na kibernetske napade znotraj Evropske unije. V ta namen razširja področje uporabe ter odpravlja razlikovanje med izvajalci bistvenih storitev in ponudniki digitalnih storitev z uvedbo splošnega merila velikosti (vključitev srednjih in velikih podjetij). Direktiva prav tako krepi varnostne zahteve za podjetja z uvedbo delovanja za obvladovanje tveganj kot osnovne zahteve zagotavljanja kibernetske varnosti, vključno s prenosom odgovornosti na vodstva podjetij. S tem se naj bi močno izboljšala odpornost in zmogljivost odzivanja, naj si gre za javne ali zasebne subjekte kot tudi Evropske unije kot celote, na incidente na področju kibernetske varnosti in zaščite kritične infrastrukture. </w:t>
      </w:r>
    </w:p>
    <w:p w14:paraId="4BA1DE0D" w14:textId="77777777" w:rsidR="001D2BD9" w:rsidRPr="006D1761" w:rsidRDefault="001D2BD9" w:rsidP="001D2BD9">
      <w:pPr>
        <w:overflowPunct w:val="0"/>
        <w:autoSpaceDE w:val="0"/>
        <w:autoSpaceDN w:val="0"/>
        <w:adjustRightInd w:val="0"/>
        <w:jc w:val="both"/>
        <w:textAlignment w:val="baseline"/>
        <w:rPr>
          <w:rFonts w:cs="Arial"/>
          <w:szCs w:val="20"/>
          <w:lang w:val="sl-SI" w:eastAsia="sl-SI"/>
        </w:rPr>
      </w:pPr>
    </w:p>
    <w:p w14:paraId="71BA9539" w14:textId="77777777" w:rsidR="001D2BD9" w:rsidRPr="006D1761" w:rsidRDefault="001D2BD9" w:rsidP="001D2BD9">
      <w:pPr>
        <w:overflowPunct w:val="0"/>
        <w:autoSpaceDE w:val="0"/>
        <w:autoSpaceDN w:val="0"/>
        <w:adjustRightInd w:val="0"/>
        <w:jc w:val="both"/>
        <w:textAlignment w:val="baseline"/>
        <w:rPr>
          <w:rFonts w:cs="Arial"/>
          <w:szCs w:val="20"/>
          <w:lang w:val="sl-SI" w:eastAsia="sl-SI"/>
        </w:rPr>
      </w:pPr>
      <w:r w:rsidRPr="006D1761">
        <w:rPr>
          <w:rFonts w:cs="Arial"/>
          <w:szCs w:val="20"/>
          <w:lang w:val="sl-SI" w:eastAsia="sl-SI"/>
        </w:rPr>
        <w:t xml:space="preserve">Določa tudi strožje nadzorne ukrepe, uvaja medsebojne strokovne preglede držav članic Evropske unije, okrepljeno varnost dobavnih verig ter vzpostavljamo osnovni okvir za usklajeno razkritje ranljivosti. </w:t>
      </w:r>
    </w:p>
    <w:p w14:paraId="5AF0930A" w14:textId="77777777" w:rsidR="001D2BD9" w:rsidRPr="006D1761" w:rsidRDefault="001D2BD9" w:rsidP="001D2BD9">
      <w:pPr>
        <w:overflowPunct w:val="0"/>
        <w:autoSpaceDE w:val="0"/>
        <w:autoSpaceDN w:val="0"/>
        <w:adjustRightInd w:val="0"/>
        <w:jc w:val="both"/>
        <w:textAlignment w:val="baseline"/>
        <w:rPr>
          <w:rFonts w:cs="Arial"/>
          <w:szCs w:val="20"/>
          <w:lang w:val="sl-SI" w:eastAsia="sl-SI"/>
        </w:rPr>
      </w:pPr>
    </w:p>
    <w:p w14:paraId="60D470B7" w14:textId="1327B9A9" w:rsidR="008B41E4" w:rsidRPr="006D1761" w:rsidRDefault="001D2BD9" w:rsidP="001D2BD9">
      <w:pPr>
        <w:overflowPunct w:val="0"/>
        <w:autoSpaceDE w:val="0"/>
        <w:autoSpaceDN w:val="0"/>
        <w:adjustRightInd w:val="0"/>
        <w:jc w:val="both"/>
        <w:textAlignment w:val="baseline"/>
        <w:rPr>
          <w:rFonts w:cs="Arial"/>
          <w:szCs w:val="20"/>
          <w:lang w:val="sl-SI" w:eastAsia="sl-SI"/>
        </w:rPr>
      </w:pPr>
      <w:r w:rsidRPr="006D1761">
        <w:rPr>
          <w:rFonts w:cs="Arial"/>
          <w:szCs w:val="20"/>
          <w:lang w:val="sl-SI" w:eastAsia="sl-SI"/>
        </w:rPr>
        <w:lastRenderedPageBreak/>
        <w:t>Direktiva (EU) 2022/2555 pomeni minimalno stopnjo harmonizacije, ki državam članicam ne preprečuje, da na nacionalnih ravneh sprejmejo še dodatne ukrepe za dvig odpornosti na kibernetske incidente.</w:t>
      </w:r>
    </w:p>
    <w:p w14:paraId="554B2A2A" w14:textId="77777777" w:rsidR="00491584" w:rsidRPr="006D1761" w:rsidRDefault="00491584" w:rsidP="001D2BD9">
      <w:pPr>
        <w:overflowPunct w:val="0"/>
        <w:autoSpaceDE w:val="0"/>
        <w:autoSpaceDN w:val="0"/>
        <w:adjustRightInd w:val="0"/>
        <w:jc w:val="both"/>
        <w:textAlignment w:val="baseline"/>
        <w:rPr>
          <w:rFonts w:cs="Arial"/>
          <w:szCs w:val="20"/>
          <w:lang w:val="sl-SI" w:eastAsia="sl-SI"/>
        </w:rPr>
      </w:pPr>
    </w:p>
    <w:p w14:paraId="6F12AC62" w14:textId="41DBA8D2" w:rsidR="00E42DF8" w:rsidRPr="006D1761" w:rsidRDefault="00E42DF8" w:rsidP="00E42DF8">
      <w:pPr>
        <w:overflowPunct w:val="0"/>
        <w:autoSpaceDE w:val="0"/>
        <w:autoSpaceDN w:val="0"/>
        <w:adjustRightInd w:val="0"/>
        <w:jc w:val="both"/>
        <w:textAlignment w:val="baseline"/>
        <w:rPr>
          <w:rFonts w:cs="Arial"/>
          <w:szCs w:val="20"/>
          <w:lang w:val="sl-SI" w:eastAsia="sl-SI"/>
        </w:rPr>
      </w:pPr>
      <w:r w:rsidRPr="006D1761">
        <w:rPr>
          <w:rFonts w:cs="Arial"/>
          <w:szCs w:val="20"/>
          <w:lang w:val="sl-SI" w:eastAsia="sl-SI"/>
        </w:rPr>
        <w:t>Obseg Direktiva (EU) 2022/2555 je bistveno razširjen v primerjavi z Direktive (EU) 2016/1148 in ni več nujno povezan s predhodno identifikacijo s strani pristojnih nacionalnih organov. Zavezanec je zajet, če deluje v enem od sektorjev in opravlja storitev, ki je navedena v Prilogi 1 in 2 in se uvršča po velikosti. Direktiva (EU) 2022/2555 dodaja nove sektorje. Dodaja tudi vrste subjektov znotraj obstoječih sektorjev. Sektorji so razdeljeni v dve skupini.</w:t>
      </w:r>
    </w:p>
    <w:p w14:paraId="3A6C2A4E" w14:textId="77777777" w:rsidR="00E42DF8" w:rsidRPr="006D1761" w:rsidRDefault="00E42DF8" w:rsidP="00E42DF8">
      <w:pPr>
        <w:overflowPunct w:val="0"/>
        <w:autoSpaceDE w:val="0"/>
        <w:autoSpaceDN w:val="0"/>
        <w:adjustRightInd w:val="0"/>
        <w:jc w:val="both"/>
        <w:textAlignment w:val="baseline"/>
        <w:rPr>
          <w:rFonts w:cs="Arial"/>
          <w:szCs w:val="20"/>
          <w:lang w:val="sl-SI" w:eastAsia="sl-SI"/>
        </w:rPr>
      </w:pPr>
    </w:p>
    <w:p w14:paraId="629FD22B" w14:textId="57FFCC37" w:rsidR="00E42DF8" w:rsidRPr="006D1761" w:rsidRDefault="005826D1" w:rsidP="00E42DF8">
      <w:pPr>
        <w:overflowPunct w:val="0"/>
        <w:autoSpaceDE w:val="0"/>
        <w:autoSpaceDN w:val="0"/>
        <w:adjustRightInd w:val="0"/>
        <w:jc w:val="both"/>
        <w:textAlignment w:val="baseline"/>
        <w:rPr>
          <w:rFonts w:cs="Arial"/>
          <w:szCs w:val="20"/>
          <w:lang w:val="sl-SI" w:eastAsia="sl-SI"/>
        </w:rPr>
      </w:pPr>
      <w:r w:rsidRPr="006D1761">
        <w:rPr>
          <w:rFonts w:cs="Arial"/>
          <w:szCs w:val="20"/>
          <w:lang w:val="sl-SI" w:eastAsia="sl-SI"/>
        </w:rPr>
        <w:t>Visoko kritični sektorji</w:t>
      </w:r>
      <w:r w:rsidR="00E42DF8" w:rsidRPr="006D1761">
        <w:rPr>
          <w:rFonts w:cs="Arial"/>
          <w:szCs w:val="20"/>
          <w:lang w:val="sl-SI" w:eastAsia="sl-SI"/>
        </w:rPr>
        <w:t xml:space="preserve"> (Priloga 1) so:</w:t>
      </w:r>
    </w:p>
    <w:p w14:paraId="6EBFBF29" w14:textId="311C7BFA" w:rsidR="00E42DF8" w:rsidRPr="006D1761" w:rsidRDefault="00E42DF8" w:rsidP="003B2726">
      <w:pPr>
        <w:pStyle w:val="Odstavekseznama"/>
        <w:numPr>
          <w:ilvl w:val="0"/>
          <w:numId w:val="7"/>
        </w:numPr>
        <w:overflowPunct w:val="0"/>
        <w:autoSpaceDE w:val="0"/>
        <w:autoSpaceDN w:val="0"/>
        <w:adjustRightInd w:val="0"/>
        <w:jc w:val="both"/>
        <w:textAlignment w:val="baseline"/>
        <w:rPr>
          <w:rFonts w:cs="Arial"/>
          <w:szCs w:val="20"/>
          <w:lang w:val="sl-SI" w:eastAsia="sl-SI"/>
        </w:rPr>
      </w:pPr>
      <w:r w:rsidRPr="006D1761">
        <w:rPr>
          <w:rFonts w:cs="Arial"/>
          <w:szCs w:val="20"/>
          <w:lang w:val="sl-SI" w:eastAsia="sl-SI"/>
        </w:rPr>
        <w:t>Energetika (</w:t>
      </w:r>
      <w:r w:rsidR="008C7E11">
        <w:rPr>
          <w:rFonts w:cs="Arial"/>
          <w:szCs w:val="20"/>
          <w:lang w:val="sl-SI" w:eastAsia="sl-SI"/>
        </w:rPr>
        <w:t>elektrika</w:t>
      </w:r>
      <w:r w:rsidRPr="006D1761">
        <w:rPr>
          <w:rFonts w:cs="Arial"/>
          <w:szCs w:val="20"/>
          <w:lang w:val="sl-SI" w:eastAsia="sl-SI"/>
        </w:rPr>
        <w:t>, daljinsko ogrevanje in hlajenje, nafta, zemeljski plin, vodik)</w:t>
      </w:r>
    </w:p>
    <w:p w14:paraId="359529CB" w14:textId="0D9F63F3" w:rsidR="00E42DF8" w:rsidRPr="006D1761" w:rsidRDefault="005826D1" w:rsidP="003B2726">
      <w:pPr>
        <w:pStyle w:val="Odstavekseznama"/>
        <w:numPr>
          <w:ilvl w:val="0"/>
          <w:numId w:val="7"/>
        </w:numPr>
        <w:overflowPunct w:val="0"/>
        <w:autoSpaceDE w:val="0"/>
        <w:autoSpaceDN w:val="0"/>
        <w:adjustRightInd w:val="0"/>
        <w:jc w:val="both"/>
        <w:textAlignment w:val="baseline"/>
        <w:rPr>
          <w:rFonts w:cs="Arial"/>
          <w:szCs w:val="20"/>
          <w:lang w:val="sl-SI" w:eastAsia="sl-SI"/>
        </w:rPr>
      </w:pPr>
      <w:r w:rsidRPr="006D1761">
        <w:rPr>
          <w:rFonts w:cs="Arial"/>
          <w:szCs w:val="20"/>
          <w:lang w:val="sl-SI" w:eastAsia="sl-SI"/>
        </w:rPr>
        <w:t>Promet</w:t>
      </w:r>
      <w:r w:rsidR="00E42DF8" w:rsidRPr="006D1761">
        <w:rPr>
          <w:rFonts w:cs="Arial"/>
          <w:szCs w:val="20"/>
          <w:lang w:val="sl-SI" w:eastAsia="sl-SI"/>
        </w:rPr>
        <w:t xml:space="preserve"> (zrak, železnica, voda, cest</w:t>
      </w:r>
      <w:r w:rsidR="008C7E11">
        <w:rPr>
          <w:rFonts w:cs="Arial"/>
          <w:szCs w:val="20"/>
          <w:lang w:val="sl-SI" w:eastAsia="sl-SI"/>
        </w:rPr>
        <w:t>ni</w:t>
      </w:r>
      <w:r w:rsidR="00E42DF8" w:rsidRPr="006D1761">
        <w:rPr>
          <w:rFonts w:cs="Arial"/>
          <w:szCs w:val="20"/>
          <w:lang w:val="sl-SI" w:eastAsia="sl-SI"/>
        </w:rPr>
        <w:t>)</w:t>
      </w:r>
    </w:p>
    <w:p w14:paraId="6B060FBA" w14:textId="77777777" w:rsidR="00E42DF8" w:rsidRPr="006D1761" w:rsidRDefault="00E42DF8" w:rsidP="003B2726">
      <w:pPr>
        <w:pStyle w:val="Odstavekseznama"/>
        <w:numPr>
          <w:ilvl w:val="0"/>
          <w:numId w:val="7"/>
        </w:numPr>
        <w:overflowPunct w:val="0"/>
        <w:autoSpaceDE w:val="0"/>
        <w:autoSpaceDN w:val="0"/>
        <w:adjustRightInd w:val="0"/>
        <w:jc w:val="both"/>
        <w:textAlignment w:val="baseline"/>
        <w:rPr>
          <w:rFonts w:cs="Arial"/>
          <w:szCs w:val="20"/>
          <w:lang w:val="sl-SI" w:eastAsia="sl-SI"/>
        </w:rPr>
      </w:pPr>
      <w:r w:rsidRPr="006D1761">
        <w:rPr>
          <w:rFonts w:cs="Arial"/>
          <w:szCs w:val="20"/>
          <w:lang w:val="sl-SI" w:eastAsia="sl-SI"/>
        </w:rPr>
        <w:t>Bančništvo</w:t>
      </w:r>
    </w:p>
    <w:p w14:paraId="2D299871" w14:textId="038E37FE" w:rsidR="00E42DF8" w:rsidRPr="006D1761" w:rsidRDefault="00E42DF8" w:rsidP="003B2726">
      <w:pPr>
        <w:pStyle w:val="Odstavekseznama"/>
        <w:numPr>
          <w:ilvl w:val="0"/>
          <w:numId w:val="7"/>
        </w:numPr>
        <w:overflowPunct w:val="0"/>
        <w:autoSpaceDE w:val="0"/>
        <w:autoSpaceDN w:val="0"/>
        <w:adjustRightInd w:val="0"/>
        <w:jc w:val="both"/>
        <w:textAlignment w:val="baseline"/>
        <w:rPr>
          <w:rFonts w:cs="Arial"/>
          <w:szCs w:val="20"/>
          <w:lang w:val="sl-SI" w:eastAsia="sl-SI"/>
        </w:rPr>
      </w:pPr>
      <w:r w:rsidRPr="006D1761">
        <w:rPr>
          <w:rFonts w:cs="Arial"/>
          <w:szCs w:val="20"/>
          <w:lang w:val="sl-SI" w:eastAsia="sl-SI"/>
        </w:rPr>
        <w:t>Infrastruktura finančnih trgov</w:t>
      </w:r>
    </w:p>
    <w:p w14:paraId="0F8FE0BC" w14:textId="77777777" w:rsidR="00E42DF8" w:rsidRPr="006D1761" w:rsidRDefault="00E42DF8" w:rsidP="003B2726">
      <w:pPr>
        <w:pStyle w:val="Odstavekseznama"/>
        <w:numPr>
          <w:ilvl w:val="0"/>
          <w:numId w:val="7"/>
        </w:numPr>
        <w:overflowPunct w:val="0"/>
        <w:autoSpaceDE w:val="0"/>
        <w:autoSpaceDN w:val="0"/>
        <w:adjustRightInd w:val="0"/>
        <w:jc w:val="both"/>
        <w:textAlignment w:val="baseline"/>
        <w:rPr>
          <w:rFonts w:cs="Arial"/>
          <w:szCs w:val="20"/>
          <w:lang w:val="sl-SI" w:eastAsia="sl-SI"/>
        </w:rPr>
      </w:pPr>
      <w:r w:rsidRPr="006D1761">
        <w:rPr>
          <w:rFonts w:cs="Arial"/>
          <w:szCs w:val="20"/>
          <w:lang w:val="sl-SI" w:eastAsia="sl-SI"/>
        </w:rPr>
        <w:t>Zdravje (ki ne vključuje več samo bolnišnic, ampak tudi referenčne laboratorije, proizvajalce medicinskih pripomočkov ali farmacevtskih pripravkov in druge)</w:t>
      </w:r>
    </w:p>
    <w:p w14:paraId="2370E13D" w14:textId="77777777" w:rsidR="005826D1" w:rsidRPr="006D1761" w:rsidRDefault="00E42DF8" w:rsidP="003B2726">
      <w:pPr>
        <w:pStyle w:val="Odstavekseznama"/>
        <w:numPr>
          <w:ilvl w:val="0"/>
          <w:numId w:val="7"/>
        </w:numPr>
        <w:overflowPunct w:val="0"/>
        <w:autoSpaceDE w:val="0"/>
        <w:autoSpaceDN w:val="0"/>
        <w:adjustRightInd w:val="0"/>
        <w:jc w:val="both"/>
        <w:textAlignment w:val="baseline"/>
        <w:rPr>
          <w:rFonts w:cs="Arial"/>
          <w:szCs w:val="20"/>
          <w:lang w:val="sl-SI" w:eastAsia="sl-SI"/>
        </w:rPr>
      </w:pPr>
      <w:r w:rsidRPr="006D1761">
        <w:rPr>
          <w:rFonts w:cs="Arial"/>
          <w:szCs w:val="20"/>
          <w:lang w:val="sl-SI" w:eastAsia="sl-SI"/>
        </w:rPr>
        <w:t>Pitna vo</w:t>
      </w:r>
      <w:r w:rsidR="005826D1" w:rsidRPr="006D1761">
        <w:rPr>
          <w:rFonts w:cs="Arial"/>
          <w:szCs w:val="20"/>
          <w:lang w:val="sl-SI" w:eastAsia="sl-SI"/>
        </w:rPr>
        <w:t>da</w:t>
      </w:r>
    </w:p>
    <w:p w14:paraId="7FDE1DC9" w14:textId="51B18CBC" w:rsidR="005826D1" w:rsidRPr="006D1761" w:rsidRDefault="005826D1" w:rsidP="003B2726">
      <w:pPr>
        <w:pStyle w:val="Odstavekseznama"/>
        <w:numPr>
          <w:ilvl w:val="0"/>
          <w:numId w:val="7"/>
        </w:numPr>
        <w:overflowPunct w:val="0"/>
        <w:autoSpaceDE w:val="0"/>
        <w:autoSpaceDN w:val="0"/>
        <w:adjustRightInd w:val="0"/>
        <w:jc w:val="both"/>
        <w:textAlignment w:val="baseline"/>
        <w:rPr>
          <w:rFonts w:cs="Arial"/>
          <w:szCs w:val="20"/>
          <w:lang w:val="sl-SI" w:eastAsia="sl-SI"/>
        </w:rPr>
      </w:pPr>
      <w:r w:rsidRPr="006D1761">
        <w:rPr>
          <w:rFonts w:cs="Arial"/>
          <w:szCs w:val="20"/>
          <w:lang w:val="sl-SI" w:eastAsia="sl-SI"/>
        </w:rPr>
        <w:t>Odpadne vode</w:t>
      </w:r>
    </w:p>
    <w:p w14:paraId="0729AA2C" w14:textId="77777777" w:rsidR="005826D1" w:rsidRPr="006D1761" w:rsidRDefault="005826D1" w:rsidP="003B2726">
      <w:pPr>
        <w:pStyle w:val="Odstavekseznama"/>
        <w:numPr>
          <w:ilvl w:val="0"/>
          <w:numId w:val="7"/>
        </w:numPr>
        <w:overflowPunct w:val="0"/>
        <w:autoSpaceDE w:val="0"/>
        <w:autoSpaceDN w:val="0"/>
        <w:adjustRightInd w:val="0"/>
        <w:jc w:val="both"/>
        <w:textAlignment w:val="baseline"/>
        <w:rPr>
          <w:rFonts w:cs="Arial"/>
          <w:szCs w:val="20"/>
          <w:lang w:val="sl-SI" w:eastAsia="sl-SI"/>
        </w:rPr>
      </w:pPr>
      <w:r w:rsidRPr="006D1761">
        <w:rPr>
          <w:rFonts w:cs="Arial"/>
          <w:szCs w:val="20"/>
          <w:lang w:val="sl-SI" w:eastAsia="sl-SI"/>
        </w:rPr>
        <w:t>Digitalna infrastruktura</w:t>
      </w:r>
    </w:p>
    <w:p w14:paraId="64722117" w14:textId="77C25C44" w:rsidR="005826D1" w:rsidRPr="006D1761" w:rsidRDefault="005826D1" w:rsidP="003B2726">
      <w:pPr>
        <w:pStyle w:val="Odstavekseznama"/>
        <w:numPr>
          <w:ilvl w:val="0"/>
          <w:numId w:val="7"/>
        </w:numPr>
        <w:overflowPunct w:val="0"/>
        <w:autoSpaceDE w:val="0"/>
        <w:autoSpaceDN w:val="0"/>
        <w:adjustRightInd w:val="0"/>
        <w:jc w:val="both"/>
        <w:textAlignment w:val="baseline"/>
        <w:rPr>
          <w:rFonts w:cs="Arial"/>
          <w:szCs w:val="20"/>
          <w:lang w:val="sl-SI" w:eastAsia="sl-SI"/>
        </w:rPr>
      </w:pPr>
      <w:r w:rsidRPr="006D1761">
        <w:rPr>
          <w:rFonts w:cs="Arial"/>
          <w:szCs w:val="20"/>
          <w:lang w:val="sl-SI" w:eastAsia="sl-SI"/>
        </w:rPr>
        <w:t>Upravljanje s storitvami IKT</w:t>
      </w:r>
    </w:p>
    <w:p w14:paraId="096C57A9" w14:textId="77777777" w:rsidR="005826D1" w:rsidRPr="006D1761" w:rsidRDefault="005826D1" w:rsidP="003B2726">
      <w:pPr>
        <w:pStyle w:val="Odstavekseznama"/>
        <w:numPr>
          <w:ilvl w:val="0"/>
          <w:numId w:val="7"/>
        </w:numPr>
        <w:overflowPunct w:val="0"/>
        <w:autoSpaceDE w:val="0"/>
        <w:autoSpaceDN w:val="0"/>
        <w:adjustRightInd w:val="0"/>
        <w:jc w:val="both"/>
        <w:textAlignment w:val="baseline"/>
        <w:rPr>
          <w:rFonts w:cs="Arial"/>
          <w:szCs w:val="20"/>
          <w:lang w:val="sl-SI" w:eastAsia="sl-SI"/>
        </w:rPr>
      </w:pPr>
      <w:r w:rsidRPr="006D1761">
        <w:rPr>
          <w:rFonts w:cs="Arial"/>
          <w:szCs w:val="20"/>
          <w:lang w:val="sl-SI" w:eastAsia="sl-SI"/>
        </w:rPr>
        <w:t>Javna uprava (centralna in regionalna)</w:t>
      </w:r>
    </w:p>
    <w:p w14:paraId="261678EE" w14:textId="02A056B2" w:rsidR="00E42DF8" w:rsidRPr="006D1761" w:rsidRDefault="005826D1" w:rsidP="003B2726">
      <w:pPr>
        <w:pStyle w:val="Odstavekseznama"/>
        <w:numPr>
          <w:ilvl w:val="0"/>
          <w:numId w:val="7"/>
        </w:numPr>
        <w:overflowPunct w:val="0"/>
        <w:autoSpaceDE w:val="0"/>
        <w:autoSpaceDN w:val="0"/>
        <w:adjustRightInd w:val="0"/>
        <w:jc w:val="both"/>
        <w:textAlignment w:val="baseline"/>
        <w:rPr>
          <w:rFonts w:cs="Arial"/>
          <w:szCs w:val="20"/>
          <w:lang w:val="sl-SI" w:eastAsia="sl-SI"/>
        </w:rPr>
      </w:pPr>
      <w:r w:rsidRPr="006D1761">
        <w:rPr>
          <w:rFonts w:cs="Arial"/>
          <w:szCs w:val="20"/>
          <w:lang w:val="sl-SI" w:eastAsia="sl-SI"/>
        </w:rPr>
        <w:t>Vesolje</w:t>
      </w:r>
    </w:p>
    <w:p w14:paraId="07D5E694" w14:textId="77777777" w:rsidR="005826D1" w:rsidRPr="006D1761" w:rsidRDefault="005826D1" w:rsidP="005826D1">
      <w:pPr>
        <w:overflowPunct w:val="0"/>
        <w:autoSpaceDE w:val="0"/>
        <w:autoSpaceDN w:val="0"/>
        <w:adjustRightInd w:val="0"/>
        <w:jc w:val="both"/>
        <w:textAlignment w:val="baseline"/>
        <w:rPr>
          <w:rFonts w:cs="Arial"/>
          <w:szCs w:val="20"/>
          <w:lang w:val="sl-SI" w:eastAsia="sl-SI"/>
        </w:rPr>
      </w:pPr>
    </w:p>
    <w:p w14:paraId="4FC7D09E" w14:textId="51E54A48" w:rsidR="005826D1" w:rsidRPr="006D1761" w:rsidRDefault="005826D1" w:rsidP="005826D1">
      <w:pPr>
        <w:overflowPunct w:val="0"/>
        <w:autoSpaceDE w:val="0"/>
        <w:autoSpaceDN w:val="0"/>
        <w:adjustRightInd w:val="0"/>
        <w:jc w:val="both"/>
        <w:textAlignment w:val="baseline"/>
        <w:rPr>
          <w:rFonts w:cs="Arial"/>
          <w:szCs w:val="20"/>
          <w:lang w:val="sl-SI" w:eastAsia="sl-SI"/>
        </w:rPr>
      </w:pPr>
      <w:r w:rsidRPr="006D1761">
        <w:rPr>
          <w:rFonts w:cs="Arial"/>
          <w:szCs w:val="20"/>
          <w:lang w:val="sl-SI" w:eastAsia="sl-SI"/>
        </w:rPr>
        <w:t>Drugi kritični sektorji (Priloga 2) so:</w:t>
      </w:r>
    </w:p>
    <w:p w14:paraId="78A516DE" w14:textId="77777777" w:rsidR="005826D1" w:rsidRPr="006D1761" w:rsidRDefault="005826D1" w:rsidP="003B2726">
      <w:pPr>
        <w:pStyle w:val="Odstavekseznama"/>
        <w:numPr>
          <w:ilvl w:val="0"/>
          <w:numId w:val="7"/>
        </w:numPr>
        <w:overflowPunct w:val="0"/>
        <w:autoSpaceDE w:val="0"/>
        <w:autoSpaceDN w:val="0"/>
        <w:adjustRightInd w:val="0"/>
        <w:jc w:val="both"/>
        <w:textAlignment w:val="baseline"/>
        <w:rPr>
          <w:rFonts w:cs="Arial"/>
          <w:szCs w:val="20"/>
          <w:lang w:val="sl-SI" w:eastAsia="sl-SI"/>
        </w:rPr>
      </w:pPr>
      <w:r w:rsidRPr="006D1761">
        <w:rPr>
          <w:rFonts w:cs="Arial"/>
          <w:szCs w:val="20"/>
          <w:lang w:val="sl-SI" w:eastAsia="sl-SI"/>
        </w:rPr>
        <w:t>Poštne in kurirske storitve</w:t>
      </w:r>
    </w:p>
    <w:p w14:paraId="706B2B9F" w14:textId="77777777" w:rsidR="005826D1" w:rsidRPr="006D1761" w:rsidRDefault="005826D1" w:rsidP="003B2726">
      <w:pPr>
        <w:pStyle w:val="Odstavekseznama"/>
        <w:numPr>
          <w:ilvl w:val="0"/>
          <w:numId w:val="7"/>
        </w:numPr>
        <w:overflowPunct w:val="0"/>
        <w:autoSpaceDE w:val="0"/>
        <w:autoSpaceDN w:val="0"/>
        <w:adjustRightInd w:val="0"/>
        <w:jc w:val="both"/>
        <w:textAlignment w:val="baseline"/>
        <w:rPr>
          <w:rFonts w:cs="Arial"/>
          <w:szCs w:val="20"/>
          <w:lang w:val="sl-SI" w:eastAsia="sl-SI"/>
        </w:rPr>
      </w:pPr>
      <w:r w:rsidRPr="006D1761">
        <w:rPr>
          <w:rFonts w:cs="Arial"/>
          <w:szCs w:val="20"/>
          <w:lang w:val="sl-SI" w:eastAsia="sl-SI"/>
        </w:rPr>
        <w:t>Ravnanje z odpadki</w:t>
      </w:r>
    </w:p>
    <w:p w14:paraId="5A755F08" w14:textId="77973053" w:rsidR="005826D1" w:rsidRPr="006D1761" w:rsidRDefault="005826D1" w:rsidP="003B2726">
      <w:pPr>
        <w:pStyle w:val="Odstavekseznama"/>
        <w:numPr>
          <w:ilvl w:val="0"/>
          <w:numId w:val="7"/>
        </w:numPr>
        <w:overflowPunct w:val="0"/>
        <w:autoSpaceDE w:val="0"/>
        <w:autoSpaceDN w:val="0"/>
        <w:adjustRightInd w:val="0"/>
        <w:jc w:val="both"/>
        <w:textAlignment w:val="baseline"/>
        <w:rPr>
          <w:rFonts w:cs="Arial"/>
          <w:szCs w:val="20"/>
          <w:lang w:val="sl-SI" w:eastAsia="sl-SI"/>
        </w:rPr>
      </w:pPr>
      <w:r w:rsidRPr="006D1761">
        <w:rPr>
          <w:rFonts w:cs="Arial"/>
          <w:szCs w:val="20"/>
          <w:lang w:val="sl-SI" w:eastAsia="sl-SI"/>
        </w:rPr>
        <w:t>Izdelava, proizvodnja in distribucija kemikalij</w:t>
      </w:r>
    </w:p>
    <w:p w14:paraId="63CBA1E0" w14:textId="7623B017" w:rsidR="005826D1" w:rsidRPr="006D1761" w:rsidRDefault="005826D1" w:rsidP="003B2726">
      <w:pPr>
        <w:pStyle w:val="Odstavekseznama"/>
        <w:numPr>
          <w:ilvl w:val="0"/>
          <w:numId w:val="7"/>
        </w:numPr>
        <w:overflowPunct w:val="0"/>
        <w:autoSpaceDE w:val="0"/>
        <w:autoSpaceDN w:val="0"/>
        <w:adjustRightInd w:val="0"/>
        <w:jc w:val="both"/>
        <w:textAlignment w:val="baseline"/>
        <w:rPr>
          <w:rFonts w:cs="Arial"/>
          <w:szCs w:val="20"/>
          <w:lang w:val="sl-SI" w:eastAsia="sl-SI"/>
        </w:rPr>
      </w:pPr>
      <w:r w:rsidRPr="006D1761">
        <w:rPr>
          <w:rFonts w:cs="Arial"/>
          <w:szCs w:val="20"/>
          <w:lang w:val="sl-SI" w:eastAsia="sl-SI"/>
        </w:rPr>
        <w:t>Pridelava, predelava in distribucija živil</w:t>
      </w:r>
    </w:p>
    <w:p w14:paraId="5786BF4D" w14:textId="59CB6D78" w:rsidR="005826D1" w:rsidRPr="006D1761" w:rsidRDefault="005826D1" w:rsidP="003B2726">
      <w:pPr>
        <w:pStyle w:val="Odstavekseznama"/>
        <w:numPr>
          <w:ilvl w:val="0"/>
          <w:numId w:val="7"/>
        </w:numPr>
        <w:overflowPunct w:val="0"/>
        <w:autoSpaceDE w:val="0"/>
        <w:autoSpaceDN w:val="0"/>
        <w:adjustRightInd w:val="0"/>
        <w:jc w:val="both"/>
        <w:textAlignment w:val="baseline"/>
        <w:rPr>
          <w:rFonts w:cs="Arial"/>
          <w:szCs w:val="20"/>
          <w:lang w:val="sl-SI" w:eastAsia="sl-SI"/>
        </w:rPr>
      </w:pPr>
      <w:r w:rsidRPr="006D1761">
        <w:rPr>
          <w:rFonts w:cs="Arial"/>
          <w:szCs w:val="20"/>
          <w:lang w:val="sl-SI" w:eastAsia="sl-SI"/>
        </w:rPr>
        <w:t>Proizvodnja (proizvodnja medicinskih pripomočkov ter in vitro diagnostičnih medicinskih pripomočkov; proizvodnja računalnikov, elektronskih in optičnih izdelkov;</w:t>
      </w:r>
      <w:r w:rsidRPr="006D1761">
        <w:rPr>
          <w:rFonts w:cs="Arial"/>
          <w:szCs w:val="20"/>
          <w:lang w:val="sl-SI" w:eastAsia="sl-SI"/>
        </w:rPr>
        <w:tab/>
        <w:t>proizvodnja električnih naprav; proizvodnja drugih strojev in naprav; proizvodnja motornih vozil, prikolic in polprikolic; proizvodnja drugih vozil in plovil)</w:t>
      </w:r>
    </w:p>
    <w:p w14:paraId="32D98661" w14:textId="77777777" w:rsidR="005826D1" w:rsidRPr="006D1761" w:rsidRDefault="005826D1" w:rsidP="003B2726">
      <w:pPr>
        <w:pStyle w:val="Odstavekseznama"/>
        <w:numPr>
          <w:ilvl w:val="0"/>
          <w:numId w:val="7"/>
        </w:numPr>
        <w:overflowPunct w:val="0"/>
        <w:autoSpaceDE w:val="0"/>
        <w:autoSpaceDN w:val="0"/>
        <w:adjustRightInd w:val="0"/>
        <w:jc w:val="both"/>
        <w:textAlignment w:val="baseline"/>
        <w:rPr>
          <w:rFonts w:cs="Arial"/>
          <w:szCs w:val="20"/>
          <w:lang w:val="sl-SI" w:eastAsia="sl-SI"/>
        </w:rPr>
      </w:pPr>
      <w:r w:rsidRPr="006D1761">
        <w:rPr>
          <w:rFonts w:cs="Arial"/>
          <w:szCs w:val="20"/>
          <w:lang w:val="sl-SI" w:eastAsia="sl-SI"/>
        </w:rPr>
        <w:t>Digitalni ponudniki</w:t>
      </w:r>
    </w:p>
    <w:p w14:paraId="42226258" w14:textId="5E051366" w:rsidR="005826D1" w:rsidRPr="006D1761" w:rsidRDefault="005826D1" w:rsidP="003B2726">
      <w:pPr>
        <w:pStyle w:val="Odstavekseznama"/>
        <w:numPr>
          <w:ilvl w:val="0"/>
          <w:numId w:val="7"/>
        </w:numPr>
        <w:overflowPunct w:val="0"/>
        <w:autoSpaceDE w:val="0"/>
        <w:autoSpaceDN w:val="0"/>
        <w:adjustRightInd w:val="0"/>
        <w:jc w:val="both"/>
        <w:textAlignment w:val="baseline"/>
        <w:rPr>
          <w:rFonts w:cs="Arial"/>
          <w:szCs w:val="20"/>
          <w:lang w:val="sl-SI" w:eastAsia="sl-SI"/>
        </w:rPr>
      </w:pPr>
      <w:r w:rsidRPr="006D1761">
        <w:rPr>
          <w:rFonts w:cs="Arial"/>
          <w:szCs w:val="20"/>
          <w:lang w:val="sl-SI" w:eastAsia="sl-SI"/>
        </w:rPr>
        <w:t>Raziskave</w:t>
      </w:r>
    </w:p>
    <w:p w14:paraId="32D20712" w14:textId="77777777" w:rsidR="00E42DF8" w:rsidRPr="006D1761" w:rsidRDefault="00E42DF8" w:rsidP="001D2BD9">
      <w:pPr>
        <w:overflowPunct w:val="0"/>
        <w:autoSpaceDE w:val="0"/>
        <w:autoSpaceDN w:val="0"/>
        <w:adjustRightInd w:val="0"/>
        <w:jc w:val="both"/>
        <w:textAlignment w:val="baseline"/>
        <w:rPr>
          <w:rFonts w:cs="Arial"/>
          <w:szCs w:val="20"/>
          <w:lang w:val="sl-SI" w:eastAsia="sl-SI"/>
        </w:rPr>
      </w:pPr>
    </w:p>
    <w:p w14:paraId="01F8F9F3" w14:textId="23614207" w:rsidR="005B59EA" w:rsidRPr="006D1761" w:rsidRDefault="005B59EA" w:rsidP="005B59EA">
      <w:pPr>
        <w:spacing w:line="276" w:lineRule="auto"/>
        <w:jc w:val="both"/>
        <w:rPr>
          <w:rFonts w:cs="Arial"/>
          <w:szCs w:val="20"/>
          <w:lang w:val="sl-SI" w:eastAsia="sl-SI"/>
        </w:rPr>
      </w:pPr>
      <w:r w:rsidRPr="006D1761">
        <w:rPr>
          <w:rFonts w:cs="Arial"/>
          <w:szCs w:val="20"/>
          <w:lang w:val="sl-SI" w:eastAsia="sl-SI"/>
        </w:rPr>
        <w:t xml:space="preserve">Razen izjem, v NIS 2 ni več aktivne identifikacije. Podjetje, ki deluje v zgoraj navedenih sektorjih, </w:t>
      </w:r>
      <w:r w:rsidR="00491584" w:rsidRPr="006D1761">
        <w:rPr>
          <w:rFonts w:cs="Arial"/>
          <w:szCs w:val="20"/>
          <w:lang w:val="sl-SI" w:eastAsia="sl-SI"/>
        </w:rPr>
        <w:t>je zavezanec</w:t>
      </w:r>
      <w:r w:rsidRPr="006D1761">
        <w:rPr>
          <w:rFonts w:cs="Arial"/>
          <w:szCs w:val="20"/>
          <w:lang w:val="sl-SI" w:eastAsia="sl-SI"/>
        </w:rPr>
        <w:t xml:space="preserve">, če je veliko ali srednje podjetje. To pomeni, da </w:t>
      </w:r>
      <w:r w:rsidR="00491584" w:rsidRPr="006D1761">
        <w:rPr>
          <w:rFonts w:cs="Arial"/>
          <w:szCs w:val="20"/>
          <w:lang w:val="sl-SI" w:eastAsia="sl-SI"/>
        </w:rPr>
        <w:t>mora imeti subjekt v</w:t>
      </w:r>
      <w:r w:rsidRPr="006D1761">
        <w:rPr>
          <w:rFonts w:cs="Arial"/>
          <w:szCs w:val="20"/>
          <w:lang w:val="sl-SI" w:eastAsia="sl-SI"/>
        </w:rPr>
        <w:t xml:space="preserve">eč kot 50 zaposlenih </w:t>
      </w:r>
      <w:r w:rsidR="00491584" w:rsidRPr="006D1761">
        <w:rPr>
          <w:rFonts w:cs="Arial"/>
          <w:szCs w:val="20"/>
          <w:lang w:val="sl-SI" w:eastAsia="sl-SI"/>
        </w:rPr>
        <w:t>in</w:t>
      </w:r>
      <w:r w:rsidRPr="006D1761">
        <w:rPr>
          <w:rFonts w:cs="Arial"/>
          <w:szCs w:val="20"/>
          <w:lang w:val="sl-SI" w:eastAsia="sl-SI"/>
        </w:rPr>
        <w:t xml:space="preserve"> letni promet</w:t>
      </w:r>
      <w:r w:rsidR="00491584" w:rsidRPr="006D1761">
        <w:rPr>
          <w:rFonts w:cs="Arial"/>
          <w:szCs w:val="20"/>
          <w:lang w:val="sl-SI" w:eastAsia="sl-SI"/>
        </w:rPr>
        <w:t xml:space="preserve"> ali letno bilančno vsoto </w:t>
      </w:r>
      <w:r w:rsidRPr="006D1761">
        <w:rPr>
          <w:rFonts w:cs="Arial"/>
          <w:szCs w:val="20"/>
          <w:lang w:val="sl-SI" w:eastAsia="sl-SI"/>
        </w:rPr>
        <w:t>več kot 10 milijonov evrov. Z določenimi izjemami so iz obsega direktive izključena mala in mikro podjetja (z manj kot 50 zaposlenimi in letnim prometom (ali letnim skupnim bilančnim izkazom) manj kot 10 milijonov evrov - kumulativni pogoji).</w:t>
      </w:r>
    </w:p>
    <w:p w14:paraId="47997E4C" w14:textId="77777777" w:rsidR="005B59EA" w:rsidRPr="006D1761" w:rsidRDefault="005B59EA" w:rsidP="005B59EA">
      <w:pPr>
        <w:spacing w:line="276" w:lineRule="auto"/>
        <w:jc w:val="both"/>
        <w:rPr>
          <w:rFonts w:cs="Arial"/>
          <w:szCs w:val="20"/>
          <w:lang w:val="sl-SI" w:eastAsia="sl-SI"/>
        </w:rPr>
      </w:pPr>
    </w:p>
    <w:p w14:paraId="36F7D250" w14:textId="24E58C3C" w:rsidR="005B59EA" w:rsidRPr="006D1761" w:rsidRDefault="005B59EA" w:rsidP="005B59EA">
      <w:pPr>
        <w:spacing w:line="276" w:lineRule="auto"/>
        <w:jc w:val="both"/>
        <w:rPr>
          <w:rFonts w:cs="Arial"/>
          <w:szCs w:val="20"/>
          <w:lang w:val="sl-SI" w:eastAsia="sl-SI"/>
        </w:rPr>
      </w:pPr>
      <w:r w:rsidRPr="006D1761">
        <w:rPr>
          <w:rFonts w:cs="Arial"/>
          <w:szCs w:val="20"/>
          <w:lang w:val="sl-SI" w:eastAsia="sl-SI"/>
        </w:rPr>
        <w:t xml:space="preserve">Prejšnja razlika med izvajalci bistvenih storitev in ponudniki digitalnih storitev je nadomeščena z razlikovanjem med bistvenimi in pomembnimi subjekti. Razlika med bistvenimi in pomembnimi subjekti je predvsem v nadzoru in sankcijah. </w:t>
      </w:r>
    </w:p>
    <w:p w14:paraId="5C4C15F6" w14:textId="77777777" w:rsidR="005B59EA" w:rsidRPr="006D1761" w:rsidRDefault="005B59EA" w:rsidP="005B59EA">
      <w:pPr>
        <w:spacing w:line="276" w:lineRule="auto"/>
        <w:jc w:val="both"/>
        <w:rPr>
          <w:rFonts w:cs="Arial"/>
          <w:szCs w:val="20"/>
          <w:lang w:val="sl-SI" w:eastAsia="sl-SI"/>
        </w:rPr>
      </w:pPr>
    </w:p>
    <w:p w14:paraId="6DF36278" w14:textId="5FF23328" w:rsidR="005B59EA" w:rsidRPr="006D1761" w:rsidRDefault="005B59EA" w:rsidP="005B59EA">
      <w:pPr>
        <w:spacing w:line="276" w:lineRule="auto"/>
        <w:jc w:val="both"/>
        <w:rPr>
          <w:rFonts w:cs="Arial"/>
          <w:szCs w:val="20"/>
          <w:lang w:val="sl-SI" w:eastAsia="sl-SI"/>
        </w:rPr>
      </w:pPr>
      <w:r w:rsidRPr="006D1761">
        <w:rPr>
          <w:rFonts w:cs="Arial"/>
          <w:szCs w:val="20"/>
          <w:lang w:val="sl-SI" w:eastAsia="sl-SI"/>
        </w:rPr>
        <w:t xml:space="preserve">Bistveni subjekti so velika podjetja, ki spadajo v sektorje visoke kritičnosti, navedene v Prilogi 1 direktive. Veliko podjetje je opredeljeno kot podjetje z vsaj 250 zaposlenimi </w:t>
      </w:r>
      <w:r w:rsidR="00491584" w:rsidRPr="006D1761">
        <w:rPr>
          <w:rFonts w:cs="Arial"/>
          <w:szCs w:val="20"/>
          <w:lang w:val="sl-SI" w:eastAsia="sl-SI"/>
        </w:rPr>
        <w:t xml:space="preserve">in </w:t>
      </w:r>
      <w:r w:rsidRPr="006D1761">
        <w:rPr>
          <w:rFonts w:cs="Arial"/>
          <w:szCs w:val="20"/>
          <w:lang w:val="sl-SI" w:eastAsia="sl-SI"/>
        </w:rPr>
        <w:t>z letnim prometom vsaj 50 milijonov evrov ali letnim skupnim bilančnim izkazom vsaj 43 milijonov evrov.</w:t>
      </w:r>
    </w:p>
    <w:p w14:paraId="2D158936" w14:textId="77777777" w:rsidR="005B59EA" w:rsidRPr="006D1761" w:rsidRDefault="005B59EA" w:rsidP="005B59EA">
      <w:pPr>
        <w:spacing w:line="276" w:lineRule="auto"/>
        <w:jc w:val="both"/>
        <w:rPr>
          <w:rFonts w:cs="Arial"/>
          <w:szCs w:val="20"/>
          <w:lang w:val="sl-SI" w:eastAsia="sl-SI"/>
        </w:rPr>
      </w:pPr>
    </w:p>
    <w:p w14:paraId="2E3D9A96" w14:textId="6FCE7802" w:rsidR="005B59EA" w:rsidRPr="006D1761" w:rsidRDefault="005B59EA" w:rsidP="005B59EA">
      <w:pPr>
        <w:spacing w:line="276" w:lineRule="auto"/>
        <w:jc w:val="both"/>
        <w:rPr>
          <w:rFonts w:cs="Arial"/>
          <w:szCs w:val="20"/>
          <w:lang w:val="sl-SI" w:eastAsia="sl-SI"/>
        </w:rPr>
      </w:pPr>
      <w:r w:rsidRPr="006D1761">
        <w:rPr>
          <w:rFonts w:cs="Arial"/>
          <w:szCs w:val="20"/>
          <w:lang w:val="sl-SI" w:eastAsia="sl-SI"/>
        </w:rPr>
        <w:t xml:space="preserve">Pomembni subjekti so srednje velika podjetja, ki delujejo v sektorjih visoke kritičnosti iz Priloge 1 direktive in velika ali srednje velika podjetja v sektorjih iz Priloge 2 direktive, ki ne spadajo v </w:t>
      </w:r>
      <w:r w:rsidRPr="006D1761">
        <w:rPr>
          <w:rFonts w:cs="Arial"/>
          <w:szCs w:val="20"/>
          <w:lang w:val="sl-SI" w:eastAsia="sl-SI"/>
        </w:rPr>
        <w:lastRenderedPageBreak/>
        <w:t>kategorijo bistvenega subjekta (zaradi njihove velikosti ali vrste subjekta). Srednje veliko podjetje je opredeljeno kot podjetje z vsaj 50 zaposlenimi ali z letnim prometom (ali skupnim bilančnim izkazom) vsaj 10 milijonov evrov, vendar z manj kot 250 zaposlenimi in ne več kot 50 milijoni evrov letnega prometa ali 43 milijoni evrov skupnega letnega bilančnega izkaza.</w:t>
      </w:r>
    </w:p>
    <w:p w14:paraId="34DA7C63" w14:textId="77777777" w:rsidR="009A59A1" w:rsidRPr="006D1761" w:rsidRDefault="009A59A1" w:rsidP="005B59EA">
      <w:pPr>
        <w:spacing w:line="276" w:lineRule="auto"/>
        <w:jc w:val="both"/>
        <w:rPr>
          <w:rFonts w:cs="Arial"/>
          <w:szCs w:val="20"/>
          <w:lang w:val="sl-SI" w:eastAsia="sl-SI"/>
        </w:rPr>
      </w:pPr>
    </w:p>
    <w:p w14:paraId="5FF65069" w14:textId="323C77A4" w:rsidR="005B59EA" w:rsidRPr="006D1761" w:rsidRDefault="005B59EA" w:rsidP="005B59EA">
      <w:pPr>
        <w:spacing w:line="276" w:lineRule="auto"/>
        <w:jc w:val="both"/>
        <w:rPr>
          <w:rFonts w:cs="Arial"/>
          <w:szCs w:val="20"/>
          <w:lang w:val="sl-SI" w:eastAsia="sl-SI"/>
        </w:rPr>
      </w:pPr>
      <w:r w:rsidRPr="006D1761">
        <w:rPr>
          <w:rFonts w:cs="Arial"/>
          <w:szCs w:val="20"/>
          <w:lang w:val="sl-SI" w:eastAsia="sl-SI"/>
        </w:rPr>
        <w:t>Ob tem obstajajo nekatere izjeme. V nekaterih sektorjih so subjekti, ne glede na velikost, določeni kot bistveni. Taki primeri so ponudniki javnih elektronskih komunikacijskih omrežij, subjekti, določeni kot kritični na nacionalni ravni v skladu s predpisom, ki ureja kritično infrastrukturo</w:t>
      </w:r>
      <w:r w:rsidR="005E0B4E">
        <w:rPr>
          <w:rFonts w:cs="Arial"/>
          <w:szCs w:val="20"/>
          <w:lang w:val="sl-SI" w:eastAsia="sl-SI"/>
        </w:rPr>
        <w:t>,</w:t>
      </w:r>
      <w:r w:rsidRPr="006D1761">
        <w:rPr>
          <w:rFonts w:cs="Arial"/>
          <w:szCs w:val="20"/>
          <w:lang w:val="sl-SI" w:eastAsia="sl-SI"/>
        </w:rPr>
        <w:t xml:space="preserve"> subjekti javnega sektorja (na centralni ravni), kvalificirani ponudniki storitev zaupanja in registri imen domen najvišje ravni ter ponudniki storitev DNS.</w:t>
      </w:r>
    </w:p>
    <w:p w14:paraId="0777A876" w14:textId="77777777" w:rsidR="005B59EA" w:rsidRPr="006D1761" w:rsidRDefault="005B59EA" w:rsidP="005B59EA">
      <w:pPr>
        <w:spacing w:line="276" w:lineRule="auto"/>
        <w:jc w:val="both"/>
        <w:rPr>
          <w:rFonts w:cs="Arial"/>
          <w:szCs w:val="20"/>
          <w:lang w:val="sl-SI" w:eastAsia="sl-SI"/>
        </w:rPr>
      </w:pPr>
    </w:p>
    <w:p w14:paraId="148661F4" w14:textId="08EA0E10" w:rsidR="005B59EA" w:rsidRPr="006D1761" w:rsidRDefault="005B59EA" w:rsidP="005B59EA">
      <w:pPr>
        <w:spacing w:line="276" w:lineRule="auto"/>
        <w:jc w:val="both"/>
        <w:rPr>
          <w:rFonts w:cs="Arial"/>
          <w:szCs w:val="20"/>
          <w:lang w:val="sl-SI" w:eastAsia="sl-SI"/>
        </w:rPr>
      </w:pPr>
      <w:bookmarkStart w:id="5" w:name="_Hlk163048972"/>
      <w:r w:rsidRPr="006D1761">
        <w:rPr>
          <w:rFonts w:cs="Arial"/>
          <w:szCs w:val="20"/>
          <w:lang w:val="sl-SI" w:eastAsia="sl-SI"/>
        </w:rPr>
        <w:t>Poleg</w:t>
      </w:r>
      <w:r w:rsidR="009A59A1" w:rsidRPr="006D1761">
        <w:rPr>
          <w:rFonts w:cs="Arial"/>
          <w:szCs w:val="20"/>
          <w:lang w:val="sl-SI" w:eastAsia="sl-SI"/>
        </w:rPr>
        <w:t xml:space="preserve"> tega</w:t>
      </w:r>
      <w:r w:rsidRPr="006D1761">
        <w:rPr>
          <w:rFonts w:cs="Arial"/>
          <w:szCs w:val="20"/>
          <w:lang w:val="sl-SI" w:eastAsia="sl-SI"/>
        </w:rPr>
        <w:t xml:space="preserve"> </w:t>
      </w:r>
      <w:r w:rsidR="0060716B" w:rsidRPr="006D1761">
        <w:rPr>
          <w:rFonts w:cs="Arial"/>
          <w:szCs w:val="20"/>
          <w:lang w:val="sl-SI" w:eastAsia="sl-SI"/>
        </w:rPr>
        <w:t xml:space="preserve">lahko država članica </w:t>
      </w:r>
      <w:r w:rsidRPr="006D1761">
        <w:rPr>
          <w:rFonts w:cs="Arial"/>
          <w:szCs w:val="20"/>
          <w:lang w:val="sl-SI" w:eastAsia="sl-SI"/>
        </w:rPr>
        <w:t xml:space="preserve">posebej določi subjekte kot bistvene ali pomembne, </w:t>
      </w:r>
      <w:r w:rsidR="0060716B" w:rsidRPr="006D1761">
        <w:rPr>
          <w:rFonts w:cs="Arial"/>
          <w:szCs w:val="20"/>
          <w:lang w:val="sl-SI" w:eastAsia="sl-SI"/>
        </w:rPr>
        <w:t>če gre za</w:t>
      </w:r>
      <w:r w:rsidRPr="006D1761">
        <w:rPr>
          <w:rFonts w:cs="Arial"/>
          <w:szCs w:val="20"/>
          <w:lang w:val="sl-SI" w:eastAsia="sl-SI"/>
        </w:rPr>
        <w:t xml:space="preserve"> edin</w:t>
      </w:r>
      <w:r w:rsidR="0060716B" w:rsidRPr="006D1761">
        <w:rPr>
          <w:rFonts w:cs="Arial"/>
          <w:szCs w:val="20"/>
          <w:lang w:val="sl-SI" w:eastAsia="sl-SI"/>
        </w:rPr>
        <w:t>ega</w:t>
      </w:r>
      <w:r w:rsidRPr="006D1761">
        <w:rPr>
          <w:rFonts w:cs="Arial"/>
          <w:szCs w:val="20"/>
          <w:lang w:val="sl-SI" w:eastAsia="sl-SI"/>
        </w:rPr>
        <w:t xml:space="preserve"> ponudnik</w:t>
      </w:r>
      <w:r w:rsidR="0060716B" w:rsidRPr="006D1761">
        <w:rPr>
          <w:rFonts w:cs="Arial"/>
          <w:szCs w:val="20"/>
          <w:lang w:val="sl-SI" w:eastAsia="sl-SI"/>
        </w:rPr>
        <w:t>a</w:t>
      </w:r>
      <w:r w:rsidRPr="006D1761">
        <w:rPr>
          <w:rFonts w:cs="Arial"/>
          <w:szCs w:val="20"/>
          <w:lang w:val="sl-SI" w:eastAsia="sl-SI"/>
        </w:rPr>
        <w:t xml:space="preserve"> storitev ali ko bi motnja v zagotavljanju storitev lahko imela pomembne posledice za javno </w:t>
      </w:r>
      <w:r w:rsidR="005E0B4E">
        <w:rPr>
          <w:rFonts w:cs="Arial"/>
          <w:szCs w:val="20"/>
          <w:lang w:val="sl-SI" w:eastAsia="sl-SI"/>
        </w:rPr>
        <w:t>red</w:t>
      </w:r>
      <w:r w:rsidRPr="006D1761">
        <w:rPr>
          <w:rFonts w:cs="Arial"/>
          <w:szCs w:val="20"/>
          <w:lang w:val="sl-SI" w:eastAsia="sl-SI"/>
        </w:rPr>
        <w:t>, javno varnost ali javno zdravje.</w:t>
      </w:r>
    </w:p>
    <w:bookmarkEnd w:id="5"/>
    <w:p w14:paraId="421F424E" w14:textId="77777777" w:rsidR="00EE5923" w:rsidRPr="006D1761" w:rsidRDefault="00EE5923" w:rsidP="00340608">
      <w:pPr>
        <w:spacing w:line="276" w:lineRule="auto"/>
        <w:jc w:val="both"/>
        <w:rPr>
          <w:rFonts w:eastAsia="Calibri" w:cs="Arial"/>
          <w:szCs w:val="20"/>
          <w:lang w:val="sl-SI"/>
        </w:rPr>
      </w:pPr>
    </w:p>
    <w:p w14:paraId="3F8DDC93" w14:textId="15C2D971" w:rsidR="0060716B" w:rsidRPr="006D1761" w:rsidRDefault="0060716B" w:rsidP="0060716B">
      <w:pPr>
        <w:spacing w:line="276" w:lineRule="auto"/>
        <w:jc w:val="both"/>
        <w:rPr>
          <w:rFonts w:eastAsia="Calibri" w:cs="Arial"/>
          <w:szCs w:val="20"/>
          <w:lang w:val="sl-SI"/>
        </w:rPr>
      </w:pPr>
      <w:bookmarkStart w:id="6" w:name="_Hlk162464786"/>
      <w:r w:rsidRPr="006D1761">
        <w:rPr>
          <w:rFonts w:eastAsia="Calibri" w:cs="Arial"/>
          <w:szCs w:val="20"/>
          <w:lang w:val="sl-SI"/>
        </w:rPr>
        <w:t xml:space="preserve">Direktiva (EU) 2022/2555 </w:t>
      </w:r>
      <w:bookmarkEnd w:id="6"/>
      <w:r w:rsidRPr="006D1761">
        <w:rPr>
          <w:rFonts w:eastAsia="Calibri" w:cs="Arial"/>
          <w:szCs w:val="20"/>
          <w:lang w:val="sl-SI"/>
        </w:rPr>
        <w:t>uvaja načelo teritorialnost glede na sedež subjekta. Vendar pa obstajajo izjeme od tega pravila teritorialne pristojnosti. Ponudniki javnih elektronskih komunikacijskih omrežij ali ponudniki javnih elektronskih komunikacijskih storitev so podvrženi pristojnosti države članice, v kateri ponujajo svoje storitve. Ponudniki storitev DNS, registri imen domen najvišje ravni, subjekti, ki ponujajo storitve registracije imen domen, ponudniki storitev oblakov, ponudniki storitev podatkovnih centrov, ponudniki storitev dostave vsebine, upravljani ponudniki storitev, upravljani ponudniki storitev varnosti, pa tudi ponudniki spletnih tržnic, iskalnikov ali platform za družabna omrežja so podvrženi pristojnosti države članice, v kateri imajo svoj glavni sedež v Evropski uniji.</w:t>
      </w:r>
    </w:p>
    <w:p w14:paraId="31113401" w14:textId="77777777" w:rsidR="0060716B" w:rsidRPr="006D1761" w:rsidRDefault="0060716B" w:rsidP="0060716B">
      <w:pPr>
        <w:spacing w:line="276" w:lineRule="auto"/>
        <w:jc w:val="both"/>
        <w:rPr>
          <w:rFonts w:eastAsia="Calibri" w:cs="Arial"/>
          <w:szCs w:val="20"/>
          <w:lang w:val="sl-SI"/>
        </w:rPr>
      </w:pPr>
    </w:p>
    <w:p w14:paraId="21BFC824" w14:textId="77777777" w:rsidR="00D63897" w:rsidRPr="006D1761" w:rsidRDefault="00D63897" w:rsidP="00D63897">
      <w:pPr>
        <w:spacing w:line="276" w:lineRule="auto"/>
        <w:jc w:val="both"/>
        <w:rPr>
          <w:rFonts w:eastAsia="Calibri" w:cs="Arial"/>
          <w:szCs w:val="20"/>
          <w:lang w:val="sl-SI"/>
        </w:rPr>
      </w:pPr>
      <w:r w:rsidRPr="006D1761">
        <w:rPr>
          <w:rFonts w:eastAsia="Calibri" w:cs="Arial"/>
          <w:szCs w:val="20"/>
          <w:lang w:val="sl-SI"/>
        </w:rPr>
        <w:t>Bistveni in pomembni subjekti morajo sprejeti ustrezne in sorazmerne ukrepe za upravljanje tveganj za varnost svojih omrežij in informacijskih sistemov ter preprečevanje incidentov ali omilitev posledic incidentov za prejemnike svojih storitev in za druge storitve. Ukrepi morajo temeljiti na celovitem pristopu k vsem nevarnostim. Namen je zaščititi omrežja in informacijske sisteme ter fizično okolje teh sistemov pred incidenti. Upravni organi ali izvršni organi bistvenih in pomembnih subjektov morajo odobriti ukrepe za upravljanje tveganj kibernetske varnosti in nadzorovati njihovo izvajanje, lahko pa so tudi odgovorni za kakršne koli kršitve. Na nacionalni ravni lahko pristojni organi natančneje predpišejo izpolnjevanje varnostnih zahtev. Evropska komisija bo sprejela izvedbeni akt, ki bo določil tehnične in metodološke zahteve za ukrepe za upravljanje tveganj kibernetske varnosti.</w:t>
      </w:r>
    </w:p>
    <w:p w14:paraId="6E305CE0" w14:textId="77777777" w:rsidR="00D63897" w:rsidRPr="006D1761" w:rsidRDefault="00D63897" w:rsidP="00D63897">
      <w:pPr>
        <w:spacing w:line="276" w:lineRule="auto"/>
        <w:jc w:val="both"/>
        <w:rPr>
          <w:rFonts w:eastAsia="Calibri" w:cs="Arial"/>
          <w:szCs w:val="20"/>
          <w:lang w:val="sl-SI"/>
        </w:rPr>
      </w:pPr>
    </w:p>
    <w:p w14:paraId="3F48ABA6" w14:textId="380F6FF4" w:rsidR="00B57A5D" w:rsidRPr="006D1761" w:rsidRDefault="00D63897" w:rsidP="00D63897">
      <w:pPr>
        <w:spacing w:line="276" w:lineRule="auto"/>
        <w:jc w:val="both"/>
        <w:rPr>
          <w:rFonts w:eastAsia="Calibri" w:cs="Arial"/>
          <w:szCs w:val="20"/>
          <w:lang w:val="sl-SI"/>
        </w:rPr>
      </w:pPr>
      <w:r w:rsidRPr="006D1761">
        <w:rPr>
          <w:rFonts w:eastAsia="Calibri" w:cs="Arial"/>
          <w:szCs w:val="20"/>
          <w:lang w:val="sl-SI"/>
        </w:rPr>
        <w:t>Pomembni in bistveni subjekti morajo brez odlašanja poročati o vsakem pomembnem incidentu pristojni skupini CSIRT</w:t>
      </w:r>
      <w:r w:rsidR="00B57A5D" w:rsidRPr="006D1761">
        <w:rPr>
          <w:rFonts w:eastAsia="Calibri" w:cs="Arial"/>
          <w:szCs w:val="20"/>
          <w:lang w:val="sl-SI"/>
        </w:rPr>
        <w:t xml:space="preserve">. </w:t>
      </w:r>
      <w:r w:rsidRPr="006D1761">
        <w:rPr>
          <w:rFonts w:eastAsia="Calibri" w:cs="Arial"/>
          <w:szCs w:val="20"/>
          <w:lang w:val="sl-SI"/>
        </w:rPr>
        <w:t>Pomemben incident je tisti, ki</w:t>
      </w:r>
      <w:r w:rsidR="00B57A5D" w:rsidRPr="006D1761">
        <w:rPr>
          <w:rFonts w:eastAsia="Calibri" w:cs="Arial"/>
          <w:szCs w:val="20"/>
          <w:lang w:val="sl-SI"/>
        </w:rPr>
        <w:t xml:space="preserve"> </w:t>
      </w:r>
      <w:r w:rsidRPr="006D1761">
        <w:rPr>
          <w:rFonts w:eastAsia="Calibri" w:cs="Arial"/>
          <w:szCs w:val="20"/>
          <w:lang w:val="sl-SI"/>
        </w:rPr>
        <w:t xml:space="preserve">je povzročil ali je sposoben povzročiti resne operativne motnje pri storitvah v sektorjih ali podsektorjih, navedenih v Prilogah </w:t>
      </w:r>
      <w:r w:rsidR="00B57A5D" w:rsidRPr="006D1761">
        <w:rPr>
          <w:rFonts w:eastAsia="Calibri" w:cs="Arial"/>
          <w:szCs w:val="20"/>
          <w:lang w:val="sl-SI"/>
        </w:rPr>
        <w:t>1</w:t>
      </w:r>
      <w:r w:rsidRPr="006D1761">
        <w:rPr>
          <w:rFonts w:eastAsia="Calibri" w:cs="Arial"/>
          <w:szCs w:val="20"/>
          <w:lang w:val="sl-SI"/>
        </w:rPr>
        <w:t xml:space="preserve"> in </w:t>
      </w:r>
      <w:r w:rsidR="00B57A5D" w:rsidRPr="006D1761">
        <w:rPr>
          <w:rFonts w:eastAsia="Calibri" w:cs="Arial"/>
          <w:szCs w:val="20"/>
          <w:lang w:val="sl-SI"/>
        </w:rPr>
        <w:t>2</w:t>
      </w:r>
      <w:r w:rsidRPr="006D1761">
        <w:rPr>
          <w:rFonts w:eastAsia="Calibri" w:cs="Arial"/>
          <w:szCs w:val="20"/>
          <w:lang w:val="sl-SI"/>
        </w:rPr>
        <w:t xml:space="preserve"> direktive, ali finančne izgube za prizadeti subjekt; ali</w:t>
      </w:r>
      <w:r w:rsidR="00B57A5D" w:rsidRPr="006D1761">
        <w:rPr>
          <w:rFonts w:eastAsia="Calibri" w:cs="Arial"/>
          <w:szCs w:val="20"/>
          <w:lang w:val="sl-SI"/>
        </w:rPr>
        <w:t xml:space="preserve"> </w:t>
      </w:r>
      <w:r w:rsidRPr="006D1761">
        <w:rPr>
          <w:rFonts w:eastAsia="Calibri" w:cs="Arial"/>
          <w:szCs w:val="20"/>
          <w:lang w:val="sl-SI"/>
        </w:rPr>
        <w:t>je vplival ali je sposoben vplivati na druge fizične ali pravne osebe z ustvarjanjem znatne materialne ali nematerialne škode.</w:t>
      </w:r>
      <w:r w:rsidR="00B57A5D" w:rsidRPr="006D1761">
        <w:rPr>
          <w:rFonts w:eastAsia="Calibri" w:cs="Arial"/>
          <w:szCs w:val="20"/>
          <w:lang w:val="sl-SI"/>
        </w:rPr>
        <w:t xml:space="preserve"> Direktiva (EU) 2022/2555 določa postopke obveščanja ter zavezuje subjekt tudi k obveščanju prejemnikov njihov storitev. </w:t>
      </w:r>
      <w:r w:rsidRPr="006D1761">
        <w:rPr>
          <w:rFonts w:eastAsia="Calibri" w:cs="Arial"/>
          <w:szCs w:val="20"/>
          <w:lang w:val="sl-SI"/>
        </w:rPr>
        <w:t>Pomembni in bistveni subjekti</w:t>
      </w:r>
      <w:r w:rsidR="00B57A5D" w:rsidRPr="006D1761">
        <w:rPr>
          <w:rFonts w:eastAsia="Calibri" w:cs="Arial"/>
          <w:szCs w:val="20"/>
          <w:lang w:val="sl-SI"/>
        </w:rPr>
        <w:t xml:space="preserve"> lahko prostovoljno priglasijo ostale in</w:t>
      </w:r>
      <w:r w:rsidRPr="006D1761">
        <w:rPr>
          <w:rFonts w:eastAsia="Calibri" w:cs="Arial"/>
          <w:szCs w:val="20"/>
          <w:lang w:val="sl-SI"/>
        </w:rPr>
        <w:t>cident</w:t>
      </w:r>
      <w:r w:rsidR="00B57A5D" w:rsidRPr="006D1761">
        <w:rPr>
          <w:rFonts w:eastAsia="Calibri" w:cs="Arial"/>
          <w:szCs w:val="20"/>
          <w:lang w:val="sl-SI"/>
        </w:rPr>
        <w:t>e</w:t>
      </w:r>
      <w:r w:rsidRPr="006D1761">
        <w:rPr>
          <w:rFonts w:eastAsia="Calibri" w:cs="Arial"/>
          <w:szCs w:val="20"/>
          <w:lang w:val="sl-SI"/>
        </w:rPr>
        <w:t>, kibernet</w:t>
      </w:r>
      <w:r w:rsidR="00B57A5D" w:rsidRPr="006D1761">
        <w:rPr>
          <w:rFonts w:eastAsia="Calibri" w:cs="Arial"/>
          <w:szCs w:val="20"/>
          <w:lang w:val="sl-SI"/>
        </w:rPr>
        <w:t>ske</w:t>
      </w:r>
      <w:r w:rsidRPr="006D1761">
        <w:rPr>
          <w:rFonts w:eastAsia="Calibri" w:cs="Arial"/>
          <w:szCs w:val="20"/>
          <w:lang w:val="sl-SI"/>
        </w:rPr>
        <w:t xml:space="preserve"> grožnj</w:t>
      </w:r>
      <w:r w:rsidR="00B57A5D" w:rsidRPr="006D1761">
        <w:rPr>
          <w:rFonts w:eastAsia="Calibri" w:cs="Arial"/>
          <w:szCs w:val="20"/>
          <w:lang w:val="sl-SI"/>
        </w:rPr>
        <w:t>e</w:t>
      </w:r>
      <w:r w:rsidRPr="006D1761">
        <w:rPr>
          <w:rFonts w:eastAsia="Calibri" w:cs="Arial"/>
          <w:szCs w:val="20"/>
          <w:lang w:val="sl-SI"/>
        </w:rPr>
        <w:t xml:space="preserve"> in preprečen</w:t>
      </w:r>
      <w:r w:rsidR="00B57A5D" w:rsidRPr="006D1761">
        <w:rPr>
          <w:rFonts w:eastAsia="Calibri" w:cs="Arial"/>
          <w:szCs w:val="20"/>
          <w:lang w:val="sl-SI"/>
        </w:rPr>
        <w:t>e</w:t>
      </w:r>
      <w:r w:rsidRPr="006D1761">
        <w:rPr>
          <w:rFonts w:eastAsia="Calibri" w:cs="Arial"/>
          <w:szCs w:val="20"/>
          <w:lang w:val="sl-SI"/>
        </w:rPr>
        <w:t xml:space="preserve"> </w:t>
      </w:r>
      <w:r w:rsidR="00B57A5D" w:rsidRPr="006D1761">
        <w:rPr>
          <w:rFonts w:eastAsia="Calibri" w:cs="Arial"/>
          <w:szCs w:val="20"/>
          <w:lang w:val="sl-SI"/>
        </w:rPr>
        <w:t>incidente. Prostovoljna priglasitev je omogočena tudi subjektom, ki ne spadajo med bistvene in pomembne.</w:t>
      </w:r>
    </w:p>
    <w:p w14:paraId="7B939EEA" w14:textId="77777777" w:rsidR="00B57A5D" w:rsidRPr="006D1761" w:rsidRDefault="00B57A5D" w:rsidP="00D63897">
      <w:pPr>
        <w:spacing w:line="276" w:lineRule="auto"/>
        <w:jc w:val="both"/>
        <w:rPr>
          <w:rFonts w:eastAsia="Calibri" w:cs="Arial"/>
          <w:szCs w:val="20"/>
          <w:lang w:val="sl-SI"/>
        </w:rPr>
      </w:pPr>
    </w:p>
    <w:p w14:paraId="6E6415A8" w14:textId="43750B75" w:rsidR="00B57A5D" w:rsidRPr="006D1761" w:rsidRDefault="00B57A5D" w:rsidP="00B57A5D">
      <w:pPr>
        <w:spacing w:line="276" w:lineRule="auto"/>
        <w:jc w:val="both"/>
        <w:rPr>
          <w:rFonts w:eastAsia="Calibri" w:cs="Arial"/>
          <w:szCs w:val="20"/>
          <w:lang w:val="sl-SI"/>
        </w:rPr>
      </w:pPr>
      <w:r w:rsidRPr="006D1761">
        <w:rPr>
          <w:rFonts w:eastAsia="Calibri" w:cs="Arial"/>
          <w:szCs w:val="20"/>
          <w:lang w:val="sl-SI"/>
        </w:rPr>
        <w:t xml:space="preserve">Države članice morajo zagotoviti, da subjekti iz Direktive (EU) 2022/2555 sprejmejo potrebne ukrepe in poročajo o incidentih. Za to lahko na primer izvajajo redne zunanje revizije ali preglede ali zahtevajo določeno dokumentacijo. Pristojni nacionalni organi bi morali imeti tudi pooblastila za ukrepanje, da bi spodbudili subjekte k sprejetju ustreznih ukrepov. To se lahko giblje od izdaje opozoril ali zavezujočih navodil za odpravo pomanjkljivosti do obveščanja njihovih strank. Poleg teh upravnih ukrepov se lahko uvedejo tudi učinkovite, sorazmerne in odvračilne upravne globe. Kršitve ukrepov za upravljanje tveganj ali poročil o incidentih se lahko kaznujejo. Za bistvene </w:t>
      </w:r>
      <w:r w:rsidRPr="006D1761">
        <w:rPr>
          <w:rFonts w:eastAsia="Calibri" w:cs="Arial"/>
          <w:szCs w:val="20"/>
          <w:lang w:val="sl-SI"/>
        </w:rPr>
        <w:lastRenderedPageBreak/>
        <w:t>subjekte: z upravnimi globami v višini do 10.000.000 evrov ali vsaj 2 % skupnega letnega svetovnega prometa v preteklem davčnem letu podjetja, ki spada v bistveni subjekt, ne glede na to, kateri znesek je višji. Za pomembne subjekte: upravne globe v višini do 7.000.000 evrov ali vsaj 1,4 % skupnega letnega svetovnega prometa v preteklem davčnem letu podjetja, ki spada v pomemben subjekt, ne glede na to, kateri znesek je višji.</w:t>
      </w:r>
    </w:p>
    <w:p w14:paraId="59CF6078" w14:textId="77777777" w:rsidR="00340608" w:rsidRPr="006D1761" w:rsidRDefault="00340608" w:rsidP="00B71B39">
      <w:pPr>
        <w:spacing w:line="276" w:lineRule="auto"/>
        <w:jc w:val="both"/>
        <w:rPr>
          <w:rFonts w:eastAsia="Calibri" w:cs="Arial"/>
          <w:szCs w:val="20"/>
          <w:lang w:val="sl-SI"/>
        </w:rPr>
      </w:pPr>
    </w:p>
    <w:p w14:paraId="78313F75" w14:textId="77777777" w:rsidR="00A23D5D" w:rsidRPr="006D1761" w:rsidRDefault="00A23D5D" w:rsidP="00A23D5D">
      <w:pPr>
        <w:suppressAutoHyphens/>
        <w:overflowPunct w:val="0"/>
        <w:autoSpaceDE w:val="0"/>
        <w:autoSpaceDN w:val="0"/>
        <w:adjustRightInd w:val="0"/>
        <w:spacing w:line="276" w:lineRule="auto"/>
        <w:textAlignment w:val="baseline"/>
        <w:outlineLvl w:val="3"/>
        <w:rPr>
          <w:rFonts w:cs="Arial"/>
          <w:b/>
          <w:szCs w:val="20"/>
          <w:lang w:val="sl-SI"/>
        </w:rPr>
      </w:pPr>
      <w:r w:rsidRPr="006D1761">
        <w:rPr>
          <w:rFonts w:cs="Arial"/>
          <w:b/>
          <w:szCs w:val="20"/>
          <w:lang w:val="sl-SI"/>
        </w:rPr>
        <w:t>2. CILJI, NAČELA IN POGLAVITNE REŠITVE PREDLOGA ZAKONA</w:t>
      </w:r>
    </w:p>
    <w:p w14:paraId="145C5694" w14:textId="77777777" w:rsidR="00A23D5D" w:rsidRPr="006D1761" w:rsidRDefault="00A23D5D" w:rsidP="00A23D5D">
      <w:pPr>
        <w:suppressAutoHyphens/>
        <w:overflowPunct w:val="0"/>
        <w:autoSpaceDE w:val="0"/>
        <w:autoSpaceDN w:val="0"/>
        <w:adjustRightInd w:val="0"/>
        <w:spacing w:line="276" w:lineRule="auto"/>
        <w:textAlignment w:val="baseline"/>
        <w:outlineLvl w:val="3"/>
        <w:rPr>
          <w:rFonts w:cs="Arial"/>
          <w:b/>
          <w:szCs w:val="20"/>
          <w:lang w:val="sl-SI"/>
        </w:rPr>
      </w:pPr>
    </w:p>
    <w:p w14:paraId="357234F9" w14:textId="77777777" w:rsidR="00A23D5D" w:rsidRPr="006D1761" w:rsidRDefault="00A23D5D" w:rsidP="00A23D5D">
      <w:pPr>
        <w:suppressAutoHyphens/>
        <w:overflowPunct w:val="0"/>
        <w:autoSpaceDE w:val="0"/>
        <w:autoSpaceDN w:val="0"/>
        <w:adjustRightInd w:val="0"/>
        <w:spacing w:line="276" w:lineRule="auto"/>
        <w:textAlignment w:val="baseline"/>
        <w:outlineLvl w:val="3"/>
        <w:rPr>
          <w:rFonts w:cs="Arial"/>
          <w:b/>
          <w:szCs w:val="20"/>
          <w:lang w:val="sl-SI"/>
        </w:rPr>
      </w:pPr>
      <w:r w:rsidRPr="006D1761">
        <w:rPr>
          <w:rFonts w:cs="Arial"/>
          <w:b/>
          <w:szCs w:val="20"/>
          <w:lang w:val="sl-SI"/>
        </w:rPr>
        <w:t>2.1 Cilji</w:t>
      </w:r>
    </w:p>
    <w:p w14:paraId="7966F9B0" w14:textId="77777777" w:rsidR="00A23D5D" w:rsidRPr="006D1761" w:rsidRDefault="00A23D5D" w:rsidP="00A23D5D">
      <w:pPr>
        <w:suppressAutoHyphens/>
        <w:overflowPunct w:val="0"/>
        <w:autoSpaceDE w:val="0"/>
        <w:autoSpaceDN w:val="0"/>
        <w:adjustRightInd w:val="0"/>
        <w:spacing w:line="276" w:lineRule="auto"/>
        <w:textAlignment w:val="baseline"/>
        <w:outlineLvl w:val="3"/>
        <w:rPr>
          <w:rFonts w:cs="Arial"/>
          <w:b/>
          <w:szCs w:val="20"/>
          <w:lang w:val="sl-SI"/>
        </w:rPr>
      </w:pPr>
    </w:p>
    <w:p w14:paraId="688D26AA" w14:textId="09B2ACD8" w:rsidR="00163F79" w:rsidRPr="006D1761" w:rsidRDefault="00B249C1" w:rsidP="00B249C1">
      <w:pPr>
        <w:spacing w:line="276" w:lineRule="auto"/>
        <w:jc w:val="both"/>
        <w:rPr>
          <w:rFonts w:cs="Arial"/>
          <w:szCs w:val="20"/>
          <w:lang w:val="sl-SI"/>
        </w:rPr>
      </w:pPr>
      <w:r w:rsidRPr="006D1761">
        <w:rPr>
          <w:rFonts w:cs="Arial"/>
          <w:szCs w:val="20"/>
          <w:lang w:val="sl-SI"/>
        </w:rPr>
        <w:t>Republika Slovenija bo z Zakonom o informacijski varnosti (v nadaljnjem besedilu</w:t>
      </w:r>
      <w:r w:rsidR="009A59A1" w:rsidRPr="006D1761">
        <w:rPr>
          <w:rFonts w:cs="Arial"/>
          <w:szCs w:val="20"/>
          <w:lang w:val="sl-SI"/>
        </w:rPr>
        <w:t>:</w:t>
      </w:r>
      <w:r w:rsidRPr="006D1761">
        <w:rPr>
          <w:rFonts w:cs="Arial"/>
          <w:szCs w:val="20"/>
          <w:lang w:val="sl-SI"/>
        </w:rPr>
        <w:t xml:space="preserve">: ZInfV-1) v svoj pravni red prenesla </w:t>
      </w:r>
      <w:bookmarkStart w:id="7" w:name="_Hlk162472751"/>
      <w:r w:rsidRPr="006D1761">
        <w:rPr>
          <w:rFonts w:cs="Arial"/>
          <w:szCs w:val="20"/>
          <w:lang w:val="sl-SI"/>
        </w:rPr>
        <w:t>Direktivo (EU) 2022/2555</w:t>
      </w:r>
      <w:bookmarkEnd w:id="7"/>
      <w:r w:rsidRPr="006D1761">
        <w:rPr>
          <w:rFonts w:cs="Arial"/>
          <w:szCs w:val="20"/>
          <w:lang w:val="sl-SI"/>
        </w:rPr>
        <w:t>, katere namen je sistemska ureditev področja informacijske oziroma kibernetske varnosti in zagotovitev visoke ravni kibernetske varnosti v Republiki Sloveniji na področjih, ki so bistvenega pomena za nemoteno delovanje države ter ohranitev zagotavljanja ključnih družbenih in gospodarskih dejavnosti v vseh varnostnih razmerah.</w:t>
      </w:r>
    </w:p>
    <w:p w14:paraId="40CDD50A" w14:textId="77777777" w:rsidR="00E714C8" w:rsidRPr="006D1761" w:rsidRDefault="00E714C8" w:rsidP="00E714C8">
      <w:pPr>
        <w:spacing w:line="276" w:lineRule="auto"/>
        <w:jc w:val="both"/>
        <w:rPr>
          <w:rFonts w:eastAsia="Calibri" w:cs="Arial"/>
          <w:szCs w:val="20"/>
          <w:lang w:val="sl-SI"/>
        </w:rPr>
      </w:pPr>
    </w:p>
    <w:p w14:paraId="40B311E0" w14:textId="481A18E7" w:rsidR="00E714C8" w:rsidRPr="006D1761" w:rsidRDefault="00E714C8" w:rsidP="00E714C8">
      <w:pPr>
        <w:spacing w:line="276" w:lineRule="auto"/>
        <w:jc w:val="both"/>
        <w:rPr>
          <w:rFonts w:cs="Arial"/>
          <w:szCs w:val="20"/>
          <w:lang w:val="sl-SI" w:eastAsia="sl-SI"/>
        </w:rPr>
      </w:pPr>
      <w:r w:rsidRPr="006D1761">
        <w:rPr>
          <w:rFonts w:eastAsia="Calibri" w:cs="Arial"/>
          <w:szCs w:val="20"/>
          <w:lang w:val="sl-SI"/>
        </w:rPr>
        <w:t xml:space="preserve">Ker je </w:t>
      </w:r>
      <w:r w:rsidRPr="006D1761">
        <w:rPr>
          <w:rFonts w:cs="Arial"/>
          <w:szCs w:val="20"/>
          <w:lang w:val="sl-SI"/>
        </w:rPr>
        <w:t xml:space="preserve">Direktiva (EU) 2022/2555 uvedla pomembne </w:t>
      </w:r>
      <w:r w:rsidRPr="006D1761">
        <w:rPr>
          <w:rFonts w:cs="Arial"/>
          <w:szCs w:val="20"/>
          <w:lang w:val="sl-SI" w:eastAsia="sl-SI"/>
        </w:rPr>
        <w:t>spremembe v obstoječi regulativni okvir je bila sprejeta odločitev, da se pripravi nov zakon</w:t>
      </w:r>
      <w:r w:rsidR="009A59A1" w:rsidRPr="006D1761">
        <w:rPr>
          <w:rFonts w:cs="Arial"/>
          <w:szCs w:val="20"/>
          <w:lang w:val="sl-SI" w:eastAsia="sl-SI"/>
        </w:rPr>
        <w:t>, ki ureja področje</w:t>
      </w:r>
      <w:r w:rsidRPr="006D1761">
        <w:rPr>
          <w:rFonts w:cs="Arial"/>
          <w:szCs w:val="20"/>
          <w:lang w:val="sl-SI" w:eastAsia="sl-SI"/>
        </w:rPr>
        <w:t xml:space="preserve"> informacijsk</w:t>
      </w:r>
      <w:r w:rsidR="009A59A1" w:rsidRPr="006D1761">
        <w:rPr>
          <w:rFonts w:cs="Arial"/>
          <w:szCs w:val="20"/>
          <w:lang w:val="sl-SI" w:eastAsia="sl-SI"/>
        </w:rPr>
        <w:t>e</w:t>
      </w:r>
      <w:r w:rsidRPr="006D1761">
        <w:rPr>
          <w:rFonts w:cs="Arial"/>
          <w:szCs w:val="20"/>
          <w:lang w:val="sl-SI" w:eastAsia="sl-SI"/>
        </w:rPr>
        <w:t xml:space="preserve"> varnosti, ki bo </w:t>
      </w:r>
      <w:r w:rsidR="009A59A1" w:rsidRPr="006D1761">
        <w:rPr>
          <w:rFonts w:cs="Arial"/>
          <w:szCs w:val="20"/>
          <w:lang w:val="sl-SI" w:eastAsia="sl-SI"/>
        </w:rPr>
        <w:t>nadomestil</w:t>
      </w:r>
      <w:r w:rsidRPr="006D1761">
        <w:rPr>
          <w:rFonts w:cs="Arial"/>
          <w:szCs w:val="20"/>
          <w:lang w:val="sl-SI" w:eastAsia="sl-SI"/>
        </w:rPr>
        <w:t xml:space="preserve"> obstoječi zakon</w:t>
      </w:r>
      <w:r w:rsidR="009A59A1" w:rsidRPr="006D1761">
        <w:rPr>
          <w:rFonts w:cs="Arial"/>
          <w:szCs w:val="20"/>
          <w:lang w:val="sl-SI" w:eastAsia="sl-SI"/>
        </w:rPr>
        <w:t xml:space="preserve">, a </w:t>
      </w:r>
      <w:r w:rsidRPr="006D1761">
        <w:rPr>
          <w:rFonts w:cs="Arial"/>
          <w:szCs w:val="20"/>
          <w:lang w:val="sl-SI" w:eastAsia="sl-SI"/>
        </w:rPr>
        <w:t xml:space="preserve">ohranil </w:t>
      </w:r>
      <w:r w:rsidR="009A59A1" w:rsidRPr="006D1761">
        <w:rPr>
          <w:rFonts w:cs="Arial"/>
          <w:szCs w:val="20"/>
          <w:lang w:val="sl-SI" w:eastAsia="sl-SI"/>
        </w:rPr>
        <w:t xml:space="preserve">in nadgradil </w:t>
      </w:r>
      <w:r w:rsidRPr="006D1761">
        <w:rPr>
          <w:rFonts w:cs="Arial"/>
          <w:szCs w:val="20"/>
          <w:lang w:val="sl-SI" w:eastAsia="sl-SI"/>
        </w:rPr>
        <w:t>pozitivne rešitve. Nov predlog zakona za temelj smiselno ohranja besedilo obstoječega zakona ter izpolnjuje minimalne zahteve določene v Direktivi (EU) 2022/2555. V tekstu se odražajo večletne izkušnje koordinacije kibernetske varnosti v Republiki Sloveniji. Osnutek Z</w:t>
      </w:r>
      <w:r w:rsidR="009A59A1" w:rsidRPr="006D1761">
        <w:rPr>
          <w:rFonts w:cs="Arial"/>
          <w:szCs w:val="20"/>
          <w:lang w:val="sl-SI" w:eastAsia="sl-SI"/>
        </w:rPr>
        <w:t>InfV-1</w:t>
      </w:r>
      <w:r w:rsidRPr="006D1761">
        <w:rPr>
          <w:rFonts w:cs="Arial"/>
          <w:szCs w:val="20"/>
          <w:lang w:val="sl-SI" w:eastAsia="sl-SI"/>
        </w:rPr>
        <w:t xml:space="preserve"> združuje obstoječo razdrobljeno upravljanje kibernetske varnosti ob upoštevanju specifičnega področja bančništva in instrumentov finančnih trgov. Zakon ustrezno naslovi razmerje do </w:t>
      </w:r>
      <w:r w:rsidR="009A59A1" w:rsidRPr="006D1761">
        <w:rPr>
          <w:rFonts w:cs="Arial"/>
          <w:szCs w:val="20"/>
          <w:lang w:val="sl-SI" w:eastAsia="sl-SI"/>
        </w:rPr>
        <w:t xml:space="preserve">zakona s področja </w:t>
      </w:r>
      <w:r w:rsidRPr="006D1761">
        <w:rPr>
          <w:rFonts w:cs="Arial"/>
          <w:szCs w:val="20"/>
          <w:lang w:val="sl-SI" w:eastAsia="sl-SI"/>
        </w:rPr>
        <w:t>kritične infrastrukture.</w:t>
      </w:r>
    </w:p>
    <w:p w14:paraId="10F687AE" w14:textId="77777777" w:rsidR="00E714C8" w:rsidRPr="006D1761" w:rsidRDefault="00E714C8" w:rsidP="00E714C8">
      <w:pPr>
        <w:spacing w:line="276" w:lineRule="auto"/>
        <w:jc w:val="both"/>
        <w:rPr>
          <w:rFonts w:cs="Arial"/>
          <w:szCs w:val="20"/>
          <w:lang w:val="sl-SI" w:eastAsia="sl-SI"/>
        </w:rPr>
      </w:pPr>
    </w:p>
    <w:p w14:paraId="1F4A7644" w14:textId="77777777" w:rsidR="00A23D5D" w:rsidRPr="006D1761" w:rsidRDefault="00A23D5D" w:rsidP="00A23D5D">
      <w:pPr>
        <w:suppressAutoHyphens/>
        <w:overflowPunct w:val="0"/>
        <w:autoSpaceDE w:val="0"/>
        <w:autoSpaceDN w:val="0"/>
        <w:adjustRightInd w:val="0"/>
        <w:spacing w:line="276" w:lineRule="auto"/>
        <w:textAlignment w:val="baseline"/>
        <w:outlineLvl w:val="3"/>
        <w:rPr>
          <w:rFonts w:cs="Arial"/>
          <w:b/>
          <w:szCs w:val="20"/>
          <w:lang w:val="sl-SI"/>
        </w:rPr>
      </w:pPr>
      <w:r w:rsidRPr="006D1761">
        <w:rPr>
          <w:rFonts w:cs="Arial"/>
          <w:b/>
          <w:szCs w:val="20"/>
          <w:lang w:val="sl-SI"/>
        </w:rPr>
        <w:t>2.2 Načela</w:t>
      </w:r>
    </w:p>
    <w:p w14:paraId="06A7E241" w14:textId="77777777" w:rsidR="00A23D5D" w:rsidRPr="006D1761" w:rsidRDefault="00A23D5D" w:rsidP="00A23D5D">
      <w:pPr>
        <w:suppressAutoHyphens/>
        <w:overflowPunct w:val="0"/>
        <w:autoSpaceDE w:val="0"/>
        <w:autoSpaceDN w:val="0"/>
        <w:adjustRightInd w:val="0"/>
        <w:spacing w:line="276" w:lineRule="auto"/>
        <w:textAlignment w:val="baseline"/>
        <w:outlineLvl w:val="3"/>
        <w:rPr>
          <w:rFonts w:cs="Arial"/>
          <w:b/>
          <w:szCs w:val="20"/>
          <w:highlight w:val="yellow"/>
          <w:lang w:val="sl-SI"/>
        </w:rPr>
      </w:pPr>
    </w:p>
    <w:p w14:paraId="0FAC3E59" w14:textId="74610075" w:rsidR="00A23D5D" w:rsidRPr="006D1761" w:rsidRDefault="00B249C1" w:rsidP="00A23D5D">
      <w:pPr>
        <w:spacing w:line="276" w:lineRule="auto"/>
        <w:jc w:val="both"/>
        <w:rPr>
          <w:rFonts w:cs="Arial"/>
          <w:szCs w:val="20"/>
          <w:lang w:val="sl-SI"/>
        </w:rPr>
      </w:pPr>
      <w:r w:rsidRPr="006D1761">
        <w:rPr>
          <w:rFonts w:cs="Arial"/>
          <w:szCs w:val="20"/>
          <w:lang w:val="sl-SI"/>
        </w:rPr>
        <w:t>Predlog zakona, podobno kot Direktive (EU) 2022/2555, upošteva spoštovanje človekovih pravic in temeljnih svoboščin, zlasti pravico do spoštovanja zasebnega življenja in komunikacij, varstvo osebnih podatkov, svobodo gospodarske pobude, lastninsko pravico, pravico do učinkovitega pravnega sredstva in nepristranskega sodišča ter pravico podati izjavo. Ob tem predlog zakona upošteva tudi načelo ekonomičnosti (v smislu preprečevanja podvajanja administrativnih bremen) ter načela pravne države, in sicer pravne varnosti in sorazmernosti.</w:t>
      </w:r>
    </w:p>
    <w:p w14:paraId="77EC3847" w14:textId="77777777" w:rsidR="00B249C1" w:rsidRPr="006D1761" w:rsidRDefault="00B249C1" w:rsidP="00A23D5D">
      <w:pPr>
        <w:spacing w:line="276" w:lineRule="auto"/>
        <w:jc w:val="both"/>
        <w:rPr>
          <w:rFonts w:cs="Arial"/>
          <w:szCs w:val="20"/>
          <w:highlight w:val="yellow"/>
          <w:lang w:val="sl-SI"/>
        </w:rPr>
      </w:pPr>
    </w:p>
    <w:p w14:paraId="5DE08B9C" w14:textId="77777777" w:rsidR="00A23D5D" w:rsidRPr="006D1761" w:rsidRDefault="00A23D5D" w:rsidP="00A23D5D">
      <w:pPr>
        <w:suppressAutoHyphens/>
        <w:overflowPunct w:val="0"/>
        <w:autoSpaceDE w:val="0"/>
        <w:autoSpaceDN w:val="0"/>
        <w:adjustRightInd w:val="0"/>
        <w:spacing w:line="276" w:lineRule="auto"/>
        <w:textAlignment w:val="baseline"/>
        <w:outlineLvl w:val="3"/>
        <w:rPr>
          <w:rFonts w:cs="Arial"/>
          <w:b/>
          <w:szCs w:val="20"/>
          <w:lang w:val="sl-SI"/>
        </w:rPr>
      </w:pPr>
      <w:r w:rsidRPr="006D1761">
        <w:rPr>
          <w:rFonts w:cs="Arial"/>
          <w:b/>
          <w:szCs w:val="20"/>
          <w:lang w:val="sl-SI"/>
        </w:rPr>
        <w:t>2.3 Poglavitne rešitve</w:t>
      </w:r>
    </w:p>
    <w:p w14:paraId="0A58D11E" w14:textId="77777777" w:rsidR="00A23D5D" w:rsidRPr="006D1761" w:rsidRDefault="00A23D5D" w:rsidP="00A23D5D">
      <w:pPr>
        <w:spacing w:line="276" w:lineRule="auto"/>
        <w:jc w:val="both"/>
        <w:rPr>
          <w:rFonts w:cs="Arial"/>
          <w:szCs w:val="20"/>
          <w:lang w:val="sl-SI"/>
        </w:rPr>
      </w:pPr>
    </w:p>
    <w:p w14:paraId="3AAC31D5" w14:textId="77777777" w:rsidR="00B249C1" w:rsidRPr="006D1761" w:rsidRDefault="00B249C1" w:rsidP="003B2726">
      <w:pPr>
        <w:numPr>
          <w:ilvl w:val="0"/>
          <w:numId w:val="13"/>
        </w:numPr>
        <w:spacing w:line="240" w:lineRule="exact"/>
        <w:jc w:val="both"/>
        <w:rPr>
          <w:rFonts w:cs="Arial"/>
          <w:szCs w:val="20"/>
          <w:lang w:val="sl-SI"/>
        </w:rPr>
      </w:pPr>
      <w:r w:rsidRPr="006D1761">
        <w:rPr>
          <w:rFonts w:cs="Arial"/>
          <w:szCs w:val="20"/>
          <w:lang w:val="sl-SI"/>
        </w:rPr>
        <w:t>Predstavitev predlaganih rešitev</w:t>
      </w:r>
    </w:p>
    <w:p w14:paraId="7B00931D" w14:textId="77777777" w:rsidR="00B249C1" w:rsidRPr="006D1761" w:rsidRDefault="00B249C1" w:rsidP="00B249C1">
      <w:pPr>
        <w:spacing w:line="240" w:lineRule="exact"/>
        <w:jc w:val="both"/>
        <w:rPr>
          <w:rFonts w:cs="Arial"/>
          <w:szCs w:val="20"/>
          <w:lang w:val="sl-SI"/>
        </w:rPr>
      </w:pPr>
    </w:p>
    <w:p w14:paraId="6018BE76" w14:textId="77777777" w:rsidR="00B249C1" w:rsidRPr="006D1761" w:rsidRDefault="00B249C1" w:rsidP="00B249C1">
      <w:pPr>
        <w:spacing w:line="240" w:lineRule="exact"/>
        <w:jc w:val="both"/>
        <w:rPr>
          <w:rFonts w:cs="Arial"/>
          <w:szCs w:val="20"/>
          <w:lang w:val="sl-SI"/>
        </w:rPr>
      </w:pPr>
      <w:r w:rsidRPr="006D1761">
        <w:rPr>
          <w:rFonts w:cs="Arial"/>
          <w:szCs w:val="20"/>
          <w:lang w:val="sl-SI"/>
        </w:rPr>
        <w:t xml:space="preserve">V nadaljevanju so po poglavjih predstavljene poglavitne rešitve predloga zakona. </w:t>
      </w:r>
    </w:p>
    <w:p w14:paraId="304FA9AF" w14:textId="77777777" w:rsidR="00B249C1" w:rsidRPr="006D1761" w:rsidRDefault="00B249C1" w:rsidP="00B249C1">
      <w:pPr>
        <w:spacing w:line="240" w:lineRule="exact"/>
        <w:jc w:val="both"/>
        <w:rPr>
          <w:rFonts w:cs="Arial"/>
          <w:b/>
          <w:szCs w:val="20"/>
          <w:lang w:val="sl-SI"/>
        </w:rPr>
      </w:pPr>
    </w:p>
    <w:p w14:paraId="7B2D58DD" w14:textId="77777777" w:rsidR="00B249C1" w:rsidRPr="006D1761" w:rsidRDefault="00B249C1" w:rsidP="00B249C1">
      <w:pPr>
        <w:spacing w:line="240" w:lineRule="exact"/>
        <w:jc w:val="both"/>
        <w:rPr>
          <w:rFonts w:cs="Arial"/>
          <w:b/>
          <w:szCs w:val="20"/>
          <w:lang w:val="sl-SI"/>
        </w:rPr>
      </w:pPr>
      <w:r w:rsidRPr="006D1761">
        <w:rPr>
          <w:rFonts w:cs="Arial"/>
          <w:b/>
          <w:szCs w:val="20"/>
          <w:lang w:val="sl-SI"/>
        </w:rPr>
        <w:t xml:space="preserve">I. Splošne določbe </w:t>
      </w:r>
    </w:p>
    <w:p w14:paraId="15B722A1" w14:textId="77777777" w:rsidR="00B249C1" w:rsidRPr="006D1761" w:rsidRDefault="00B249C1" w:rsidP="00B249C1">
      <w:pPr>
        <w:spacing w:line="240" w:lineRule="exact"/>
        <w:jc w:val="both"/>
        <w:rPr>
          <w:rFonts w:cs="Arial"/>
          <w:b/>
          <w:szCs w:val="20"/>
          <w:lang w:val="sl-SI"/>
        </w:rPr>
      </w:pPr>
    </w:p>
    <w:p w14:paraId="2DB83635" w14:textId="55CB101F" w:rsidR="00B249C1" w:rsidRPr="006D1761" w:rsidRDefault="00B249C1" w:rsidP="003B2726">
      <w:pPr>
        <w:numPr>
          <w:ilvl w:val="0"/>
          <w:numId w:val="14"/>
        </w:numPr>
        <w:spacing w:line="240" w:lineRule="exact"/>
        <w:jc w:val="both"/>
        <w:rPr>
          <w:rFonts w:cs="Arial"/>
          <w:szCs w:val="20"/>
          <w:lang w:val="sl-SI"/>
        </w:rPr>
      </w:pPr>
      <w:r w:rsidRPr="006D1761">
        <w:rPr>
          <w:rFonts w:cs="Arial"/>
          <w:szCs w:val="20"/>
          <w:lang w:val="sl-SI"/>
        </w:rPr>
        <w:t>vsebina predloga zakona ureja področje informacijske in kibernetske varnosti ter opredeljuje nacionalni sistem informacijske varnosti v Republiki Sloveniji Pri tem ureja pristojnosti, naloge, organizacijo in delovanje pristojnega nacionalnega organa za informacijsko varnost (v nadaljnjem besedilu: pristojni nacionalni organ), organa za obvladovanje incidentov velikih razsežnosti in kriz, enotne kontaktne točke za kibernetsko varnost (v nadaljnjem besedilu: enotna kontaktna točka), skupine za odzivanje na incidente na področju računalniške varnosti (v nadaljnjem besedilu: skupine CSIRT); ureja sprejem Strategije kibernetske varnosti Republike Slovenije in določa kibernetsko obrambo ter sodelovanje pristojnih državnih organov in skupin CSIRT;</w:t>
      </w:r>
    </w:p>
    <w:p w14:paraId="0F04602E" w14:textId="77777777" w:rsidR="00B249C1" w:rsidRPr="006D1761" w:rsidRDefault="00B249C1" w:rsidP="003B2726">
      <w:pPr>
        <w:numPr>
          <w:ilvl w:val="0"/>
          <w:numId w:val="14"/>
        </w:numPr>
        <w:spacing w:line="240" w:lineRule="exact"/>
        <w:jc w:val="both"/>
        <w:rPr>
          <w:rFonts w:cs="Arial"/>
          <w:szCs w:val="20"/>
          <w:lang w:val="sl-SI"/>
        </w:rPr>
      </w:pPr>
      <w:r w:rsidRPr="006D1761">
        <w:rPr>
          <w:rFonts w:cs="Arial"/>
          <w:szCs w:val="20"/>
          <w:lang w:val="sl-SI"/>
        </w:rPr>
        <w:t xml:space="preserve">predlog zakona zaradi nemotenega delovanje države v vseh varnostnih razmerah ter za ohranitev ključnih družbenih in gospodarskih dejavnosti v Republiki Sloveniji določa tudi </w:t>
      </w:r>
      <w:r w:rsidRPr="006D1761">
        <w:rPr>
          <w:rFonts w:cs="Arial"/>
          <w:szCs w:val="20"/>
          <w:lang w:val="sl-SI"/>
        </w:rPr>
        <w:lastRenderedPageBreak/>
        <w:t>ukrepe za obvladovanje tveganj za kibernetsko varnost in obveznost poročanja zavezancev iz kritičnih sektorjev ter zavezancev, ki so kritični subjekti v skladu z zakonom, ki ureja področje kritične infrastrukture. Ureja tudi pravila in obveznosti glede izmenjave informacij o kibernetski varnosti ter nadzor po tem zakonu;</w:t>
      </w:r>
    </w:p>
    <w:p w14:paraId="35EA7EC8" w14:textId="77777777" w:rsidR="00B249C1" w:rsidRPr="006D1761" w:rsidRDefault="00B249C1" w:rsidP="003B2726">
      <w:pPr>
        <w:numPr>
          <w:ilvl w:val="0"/>
          <w:numId w:val="14"/>
        </w:numPr>
        <w:spacing w:line="240" w:lineRule="exact"/>
        <w:jc w:val="both"/>
        <w:rPr>
          <w:rFonts w:cs="Arial"/>
          <w:szCs w:val="20"/>
          <w:lang w:val="sl-SI"/>
        </w:rPr>
      </w:pPr>
      <w:r w:rsidRPr="006D1761">
        <w:rPr>
          <w:rFonts w:cs="Arial"/>
          <w:szCs w:val="20"/>
          <w:lang w:val="sl-SI"/>
        </w:rPr>
        <w:t>namen predloga zakona je sistemska ureditev področja informacijske oziroma kibernetske varnosti in zagotovitev visoke ravni kibernetske varnosti v Republiki Sloveniji na področjih, ki so bistvenega pomena za nemoteno delovanje države ter ohranitev zagotavljanja ključnih družbenih in gospodarskih dejavnosti v vseh varnostnih razmerah;</w:t>
      </w:r>
    </w:p>
    <w:p w14:paraId="000E8FBC" w14:textId="4F44AA88" w:rsidR="00B249C1" w:rsidRDefault="00B249C1" w:rsidP="003B2726">
      <w:pPr>
        <w:numPr>
          <w:ilvl w:val="0"/>
          <w:numId w:val="14"/>
        </w:numPr>
        <w:spacing w:line="240" w:lineRule="exact"/>
        <w:jc w:val="both"/>
        <w:rPr>
          <w:rFonts w:cs="Arial"/>
          <w:szCs w:val="20"/>
          <w:lang w:val="sl-SI"/>
        </w:rPr>
      </w:pPr>
      <w:r w:rsidRPr="006D1761">
        <w:rPr>
          <w:rFonts w:cs="Arial"/>
          <w:szCs w:val="20"/>
          <w:lang w:val="sl-SI"/>
        </w:rPr>
        <w:t xml:space="preserve">s tem zakonom se v pravni red Republike Slovenije prenaša Direktiva (EU) 2022/2555 Evropskega parlamenta in Sveta z dne 14. decembra 2022 o ukrepih za visoko skupno raven kibernetske varnosti v Uniji, spremembi Uredbe (EU) št. 910/2014 in Direktive (EU) 2018/1972 ter razveljavitvi Direktive (EU) 2016/1148 (Direktiva NIS 2) (UL L št. 333/142, z dne 27. 12. 2022, str.80), (v nadaljnjem besedilu: Direktiva </w:t>
      </w:r>
      <w:r w:rsidR="00EC12B7">
        <w:rPr>
          <w:rFonts w:cs="Arial"/>
          <w:szCs w:val="20"/>
          <w:lang w:val="sl-SI"/>
        </w:rPr>
        <w:t xml:space="preserve">(EU) </w:t>
      </w:r>
      <w:r w:rsidRPr="006D1761">
        <w:rPr>
          <w:rFonts w:cs="Arial"/>
          <w:szCs w:val="20"/>
          <w:lang w:val="sl-SI"/>
        </w:rPr>
        <w:t>2022/2555);</w:t>
      </w:r>
    </w:p>
    <w:p w14:paraId="272E3FB8" w14:textId="034BC62F" w:rsidR="00AA0FB5" w:rsidRPr="00AA0FB5" w:rsidRDefault="00AA0FB5" w:rsidP="00AA0FB5">
      <w:pPr>
        <w:numPr>
          <w:ilvl w:val="0"/>
          <w:numId w:val="14"/>
        </w:numPr>
        <w:spacing w:line="240" w:lineRule="exact"/>
        <w:jc w:val="both"/>
        <w:rPr>
          <w:rFonts w:cs="Arial"/>
          <w:szCs w:val="20"/>
          <w:lang w:val="sl-SI"/>
        </w:rPr>
      </w:pPr>
      <w:r>
        <w:rPr>
          <w:rFonts w:cs="Arial"/>
          <w:szCs w:val="20"/>
          <w:lang w:val="sl-SI"/>
        </w:rPr>
        <w:t>s</w:t>
      </w:r>
      <w:r w:rsidRPr="00AA0FB5">
        <w:rPr>
          <w:rFonts w:cs="Arial"/>
          <w:szCs w:val="20"/>
          <w:lang w:val="sl-SI"/>
        </w:rPr>
        <w:t xml:space="preserve"> tem zakonom se ureja izvajanje Uredbe (EU) 2019/881 Evropskega parlamenta in Sveta z dne 17. aprila 2019 o Agenciji Evropske unije za kibernetsko varnost (ENISA) in o certificiranju informacijske in komunikacijske tehnologije na področju kibernetske varnosti ter razveljavitvi Uredbe (EU) št. 526/2013 (Akt o kibernetski varnosti) (UL L št. 151 z dne 7. 6. 2019, str. 15; v nadaljnjem besedilu: Uredba (EU) 2019/881)</w:t>
      </w:r>
      <w:r>
        <w:rPr>
          <w:rFonts w:cs="Arial"/>
          <w:szCs w:val="20"/>
          <w:lang w:val="sl-SI"/>
        </w:rPr>
        <w:t>;</w:t>
      </w:r>
    </w:p>
    <w:p w14:paraId="49ACC0F0" w14:textId="606DC4C6" w:rsidR="00B249C1" w:rsidRPr="006D1761" w:rsidRDefault="00B249C1" w:rsidP="003B2726">
      <w:pPr>
        <w:numPr>
          <w:ilvl w:val="0"/>
          <w:numId w:val="14"/>
        </w:numPr>
        <w:spacing w:line="240" w:lineRule="exact"/>
        <w:jc w:val="both"/>
        <w:rPr>
          <w:rFonts w:cs="Arial"/>
          <w:szCs w:val="20"/>
          <w:lang w:val="sl-SI"/>
        </w:rPr>
      </w:pPr>
      <w:r w:rsidRPr="006D1761">
        <w:rPr>
          <w:rFonts w:cs="Arial"/>
          <w:szCs w:val="20"/>
          <w:lang w:val="sl-SI"/>
        </w:rPr>
        <w:t>pomen izrazov</w:t>
      </w:r>
      <w:r w:rsidRPr="006D1761">
        <w:rPr>
          <w:rFonts w:cs="Arial"/>
          <w:b/>
          <w:szCs w:val="20"/>
          <w:lang w:val="sl-SI"/>
        </w:rPr>
        <w:t xml:space="preserve"> </w:t>
      </w:r>
      <w:r w:rsidRPr="006D1761">
        <w:rPr>
          <w:rFonts w:cs="Arial"/>
          <w:szCs w:val="20"/>
          <w:lang w:val="sl-SI"/>
        </w:rPr>
        <w:t xml:space="preserve">je skladen z Direktivo </w:t>
      </w:r>
      <w:r w:rsidR="00EC12B7">
        <w:rPr>
          <w:rFonts w:cs="Arial"/>
          <w:szCs w:val="20"/>
          <w:lang w:val="sl-SI"/>
        </w:rPr>
        <w:t xml:space="preserve">(EU) </w:t>
      </w:r>
      <w:r w:rsidRPr="006D1761">
        <w:rPr>
          <w:rFonts w:cs="Arial"/>
          <w:szCs w:val="20"/>
          <w:lang w:val="sl-SI"/>
        </w:rPr>
        <w:t>2022/2555, ko gre za nacionalne določbe, pa s strokovnimi pojmi s področja informacijske varnosti oziroma obramboslovja;</w:t>
      </w:r>
    </w:p>
    <w:p w14:paraId="0372A663" w14:textId="3B7BD2EF" w:rsidR="00B249C1" w:rsidRDefault="00B249C1" w:rsidP="003B2726">
      <w:pPr>
        <w:numPr>
          <w:ilvl w:val="0"/>
          <w:numId w:val="14"/>
        </w:numPr>
        <w:spacing w:line="240" w:lineRule="exact"/>
        <w:jc w:val="both"/>
        <w:rPr>
          <w:rFonts w:cs="Arial"/>
          <w:szCs w:val="20"/>
          <w:lang w:val="sl-SI"/>
        </w:rPr>
      </w:pPr>
      <w:r w:rsidRPr="006D1761">
        <w:rPr>
          <w:rFonts w:cs="Arial"/>
          <w:szCs w:val="20"/>
          <w:lang w:val="sl-SI"/>
        </w:rPr>
        <w:t>pri obdelavi podatkov na podlagi tega zakona se ta glede osebnih podatkov izvaja skladno s predpisi, ki urejajo varstvo osebnih podatkov, če pa so podatki in informacije, ki se obdelujejo, opredeljeni kot tajni ali kot poslovna skrivnost, pa v skladu s predpisi, ki urejajo področje tajnih podatkov in poslovno skrivnost</w:t>
      </w:r>
      <w:r w:rsidR="00744D92">
        <w:rPr>
          <w:rFonts w:cs="Arial"/>
          <w:szCs w:val="20"/>
          <w:lang w:val="sl-SI"/>
        </w:rPr>
        <w:t>;</w:t>
      </w:r>
    </w:p>
    <w:p w14:paraId="5A9C02D9" w14:textId="11E10D62" w:rsidR="00744D92" w:rsidRDefault="00744D92" w:rsidP="00744D92">
      <w:pPr>
        <w:pStyle w:val="Odstavekseznama"/>
        <w:numPr>
          <w:ilvl w:val="0"/>
          <w:numId w:val="14"/>
        </w:numPr>
        <w:jc w:val="both"/>
        <w:rPr>
          <w:rFonts w:cs="Arial"/>
          <w:szCs w:val="20"/>
          <w:lang w:val="sl-SI"/>
        </w:rPr>
      </w:pPr>
      <w:r w:rsidRPr="00744D92">
        <w:rPr>
          <w:rFonts w:cs="Arial"/>
          <w:szCs w:val="20"/>
          <w:lang w:val="sl-SI"/>
        </w:rPr>
        <w:t xml:space="preserve">zakon uvaja </w:t>
      </w:r>
      <w:r>
        <w:rPr>
          <w:rFonts w:cs="Arial"/>
          <w:szCs w:val="20"/>
          <w:lang w:val="sl-SI"/>
        </w:rPr>
        <w:t xml:space="preserve">tudi </w:t>
      </w:r>
      <w:r w:rsidRPr="00744D92">
        <w:rPr>
          <w:rFonts w:cs="Arial"/>
          <w:szCs w:val="20"/>
          <w:lang w:val="sl-SI"/>
        </w:rPr>
        <w:t>kategorijo</w:t>
      </w:r>
      <w:r w:rsidRPr="00E1666F">
        <w:rPr>
          <w:lang w:val="it-IT"/>
        </w:rPr>
        <w:t xml:space="preserve"> </w:t>
      </w:r>
      <w:r w:rsidRPr="00744D92">
        <w:rPr>
          <w:rFonts w:cs="Arial"/>
          <w:szCs w:val="20"/>
          <w:lang w:val="sl-SI"/>
        </w:rPr>
        <w:t>varovani podatki pristojnega nacionalnega organ</w:t>
      </w:r>
      <w:r>
        <w:rPr>
          <w:rFonts w:cs="Arial"/>
          <w:szCs w:val="20"/>
          <w:lang w:val="sl-SI"/>
        </w:rPr>
        <w:t>.</w:t>
      </w:r>
      <w:r w:rsidRPr="00744D92">
        <w:rPr>
          <w:rFonts w:cs="Arial"/>
          <w:szCs w:val="20"/>
          <w:lang w:val="sl-SI"/>
        </w:rPr>
        <w:t xml:space="preserve"> </w:t>
      </w:r>
      <w:r>
        <w:rPr>
          <w:rFonts w:cs="Arial"/>
          <w:szCs w:val="20"/>
          <w:lang w:val="sl-SI"/>
        </w:rPr>
        <w:t>O</w:t>
      </w:r>
      <w:r w:rsidRPr="00744D92">
        <w:rPr>
          <w:rFonts w:cs="Arial"/>
          <w:szCs w:val="20"/>
          <w:lang w:val="sl-SI"/>
        </w:rPr>
        <w:t>rganizacijske in logično tehnične postopke ter ukrepe za določanje in varovanje varovanih podatkov pristojnega nacionalnega organa ter vodenja zbirk podatkov katerih upravljavec je pristojni nacionalni organ</w:t>
      </w:r>
      <w:r>
        <w:rPr>
          <w:rFonts w:cs="Arial"/>
          <w:szCs w:val="20"/>
          <w:lang w:val="sl-SI"/>
        </w:rPr>
        <w:t xml:space="preserve"> določi predstojnik omenjenega organa.</w:t>
      </w:r>
    </w:p>
    <w:p w14:paraId="36555ED7" w14:textId="600CB8B1" w:rsidR="00744D92" w:rsidRDefault="00744D92" w:rsidP="00744D92">
      <w:pPr>
        <w:spacing w:line="240" w:lineRule="exact"/>
        <w:ind w:left="720"/>
        <w:jc w:val="both"/>
        <w:rPr>
          <w:rFonts w:cs="Arial"/>
          <w:szCs w:val="20"/>
          <w:lang w:val="sl-SI"/>
        </w:rPr>
      </w:pPr>
    </w:p>
    <w:p w14:paraId="6065D3FE" w14:textId="77777777" w:rsidR="00B249C1" w:rsidRPr="006D1761" w:rsidRDefault="00B249C1" w:rsidP="00B249C1">
      <w:pPr>
        <w:spacing w:line="240" w:lineRule="exact"/>
        <w:jc w:val="both"/>
        <w:rPr>
          <w:rFonts w:cs="Arial"/>
          <w:szCs w:val="20"/>
          <w:lang w:val="sl-SI"/>
        </w:rPr>
      </w:pPr>
    </w:p>
    <w:p w14:paraId="3D82A1AC" w14:textId="77777777" w:rsidR="00B249C1" w:rsidRPr="006D1761" w:rsidRDefault="00B249C1" w:rsidP="00B249C1">
      <w:pPr>
        <w:spacing w:line="240" w:lineRule="exact"/>
        <w:jc w:val="both"/>
        <w:rPr>
          <w:rFonts w:cs="Arial"/>
          <w:b/>
          <w:szCs w:val="20"/>
          <w:lang w:val="sl-SI"/>
        </w:rPr>
      </w:pPr>
      <w:r w:rsidRPr="006D1761">
        <w:rPr>
          <w:rFonts w:cs="Arial"/>
          <w:b/>
          <w:szCs w:val="20"/>
          <w:lang w:val="sl-SI"/>
        </w:rPr>
        <w:t xml:space="preserve">II. Zavezanci </w:t>
      </w:r>
    </w:p>
    <w:p w14:paraId="57811AA0" w14:textId="77777777" w:rsidR="00B249C1" w:rsidRPr="006D1761" w:rsidRDefault="00B249C1" w:rsidP="00B249C1">
      <w:pPr>
        <w:spacing w:line="240" w:lineRule="exact"/>
        <w:jc w:val="both"/>
        <w:rPr>
          <w:rFonts w:cs="Arial"/>
          <w:szCs w:val="20"/>
          <w:lang w:val="sl-SI"/>
        </w:rPr>
      </w:pPr>
    </w:p>
    <w:p w14:paraId="36D8930C" w14:textId="77777777" w:rsidR="00B249C1" w:rsidRPr="006D1761" w:rsidRDefault="00B249C1" w:rsidP="003B2726">
      <w:pPr>
        <w:widowControl w:val="0"/>
        <w:numPr>
          <w:ilvl w:val="0"/>
          <w:numId w:val="14"/>
        </w:numPr>
        <w:autoSpaceDE w:val="0"/>
        <w:autoSpaceDN w:val="0"/>
        <w:adjustRightInd w:val="0"/>
        <w:spacing w:line="300" w:lineRule="atLeast"/>
        <w:ind w:left="714" w:hanging="357"/>
        <w:jc w:val="both"/>
        <w:rPr>
          <w:rFonts w:cs="Arial"/>
          <w:szCs w:val="20"/>
          <w:lang w:val="sl-SI" w:eastAsia="cs-CZ"/>
        </w:rPr>
      </w:pPr>
      <w:r w:rsidRPr="006D1761">
        <w:rPr>
          <w:rFonts w:eastAsia="Calibri" w:cs="Arial"/>
          <w:szCs w:val="20"/>
          <w:lang w:val="sl-SI" w:eastAsia="cs-CZ"/>
        </w:rPr>
        <w:t>zavezanci</w:t>
      </w:r>
      <w:r w:rsidRPr="006D1761">
        <w:rPr>
          <w:rFonts w:cs="Arial"/>
          <w:szCs w:val="20"/>
          <w:lang w:val="sl-SI" w:eastAsia="cs-CZ"/>
        </w:rPr>
        <w:t xml:space="preserve"> po predlogu zakona se delijo na bistvene in pomembne subjekte;</w:t>
      </w:r>
    </w:p>
    <w:p w14:paraId="2D8E0CE6" w14:textId="7A62686A" w:rsidR="00B249C1" w:rsidRPr="006D1761" w:rsidRDefault="00B249C1" w:rsidP="003B2726">
      <w:pPr>
        <w:widowControl w:val="0"/>
        <w:numPr>
          <w:ilvl w:val="0"/>
          <w:numId w:val="14"/>
        </w:numPr>
        <w:autoSpaceDE w:val="0"/>
        <w:autoSpaceDN w:val="0"/>
        <w:adjustRightInd w:val="0"/>
        <w:spacing w:line="300" w:lineRule="atLeast"/>
        <w:ind w:left="714" w:hanging="357"/>
        <w:jc w:val="both"/>
        <w:rPr>
          <w:rFonts w:cs="Arial"/>
          <w:szCs w:val="20"/>
          <w:lang w:val="sl-SI" w:eastAsia="cs-CZ"/>
        </w:rPr>
      </w:pPr>
      <w:r w:rsidRPr="006D1761">
        <w:rPr>
          <w:rFonts w:cs="Arial"/>
          <w:szCs w:val="20"/>
          <w:lang w:val="sl-SI" w:eastAsia="cs-CZ"/>
        </w:rPr>
        <w:t xml:space="preserve">zavezanci so javni ali zasebni subjekti vrste iz Prilog Direktive </w:t>
      </w:r>
      <w:r w:rsidR="00EC12B7">
        <w:rPr>
          <w:rFonts w:cs="Arial"/>
          <w:szCs w:val="20"/>
          <w:lang w:val="sl-SI" w:eastAsia="cs-CZ"/>
        </w:rPr>
        <w:t xml:space="preserve">(EU) </w:t>
      </w:r>
      <w:r w:rsidRPr="006D1761">
        <w:rPr>
          <w:rFonts w:cs="Arial"/>
          <w:szCs w:val="20"/>
          <w:lang w:val="sl-SI" w:eastAsia="cs-CZ"/>
        </w:rPr>
        <w:t xml:space="preserve">2022/2555 I ali II (v nadaljnjem besedilu Priloga I ali II), ki imajo vsaj 50 zaposlenih in letni promet </w:t>
      </w:r>
      <w:r w:rsidR="00AA0FB5">
        <w:rPr>
          <w:rFonts w:cs="Arial"/>
          <w:szCs w:val="20"/>
          <w:lang w:val="sl-SI" w:eastAsia="cs-CZ"/>
        </w:rPr>
        <w:t>ali</w:t>
      </w:r>
      <w:r w:rsidR="00AA0FB5" w:rsidRPr="006D1761">
        <w:rPr>
          <w:rFonts w:cs="Arial"/>
          <w:szCs w:val="20"/>
          <w:lang w:val="sl-SI" w:eastAsia="cs-CZ"/>
        </w:rPr>
        <w:t xml:space="preserve"> </w:t>
      </w:r>
      <w:r w:rsidRPr="006D1761">
        <w:rPr>
          <w:rFonts w:cs="Arial"/>
          <w:szCs w:val="20"/>
          <w:lang w:val="sl-SI" w:eastAsia="cs-CZ"/>
        </w:rPr>
        <w:t>letno bilančno vsoto vsaj 10 milijonov evrov;</w:t>
      </w:r>
    </w:p>
    <w:p w14:paraId="3D91AFB8" w14:textId="77777777" w:rsidR="00B249C1" w:rsidRPr="006D1761" w:rsidRDefault="00B249C1" w:rsidP="003B2726">
      <w:pPr>
        <w:widowControl w:val="0"/>
        <w:numPr>
          <w:ilvl w:val="0"/>
          <w:numId w:val="14"/>
        </w:numPr>
        <w:autoSpaceDE w:val="0"/>
        <w:autoSpaceDN w:val="0"/>
        <w:adjustRightInd w:val="0"/>
        <w:spacing w:line="300" w:lineRule="atLeast"/>
        <w:jc w:val="both"/>
        <w:rPr>
          <w:rFonts w:cs="Arial"/>
          <w:szCs w:val="20"/>
          <w:lang w:val="sl-SI" w:eastAsia="cs-CZ"/>
        </w:rPr>
      </w:pPr>
      <w:r w:rsidRPr="006D1761">
        <w:rPr>
          <w:rFonts w:cs="Arial"/>
          <w:szCs w:val="20"/>
          <w:lang w:val="sl-SI" w:eastAsia="cs-CZ"/>
        </w:rPr>
        <w:t>zavezanci po predlogu zakona ne glede na njihovo velikost ali letni promet oziroma letno bilančno vsoto, kadar:</w:t>
      </w:r>
    </w:p>
    <w:p w14:paraId="190EE95B" w14:textId="77777777" w:rsidR="00B249C1" w:rsidRPr="006D1761" w:rsidRDefault="00B249C1" w:rsidP="003B2726">
      <w:pPr>
        <w:widowControl w:val="0"/>
        <w:numPr>
          <w:ilvl w:val="0"/>
          <w:numId w:val="14"/>
        </w:numPr>
        <w:autoSpaceDE w:val="0"/>
        <w:autoSpaceDN w:val="0"/>
        <w:adjustRightInd w:val="0"/>
        <w:spacing w:line="300" w:lineRule="atLeast"/>
        <w:ind w:left="1597"/>
        <w:jc w:val="both"/>
        <w:rPr>
          <w:rFonts w:cs="Arial"/>
          <w:szCs w:val="20"/>
          <w:lang w:val="sl-SI" w:eastAsia="cs-CZ"/>
        </w:rPr>
      </w:pPr>
      <w:r w:rsidRPr="006D1761">
        <w:rPr>
          <w:rFonts w:cs="Arial"/>
          <w:szCs w:val="20"/>
          <w:lang w:val="sl-SI" w:eastAsia="cs-CZ"/>
        </w:rPr>
        <w:t xml:space="preserve">1. storitev opravljajo: </w:t>
      </w:r>
    </w:p>
    <w:p w14:paraId="6C1B14C8" w14:textId="77777777" w:rsidR="00B249C1" w:rsidRPr="006D1761" w:rsidRDefault="00B249C1" w:rsidP="003B2726">
      <w:pPr>
        <w:widowControl w:val="0"/>
        <w:numPr>
          <w:ilvl w:val="0"/>
          <w:numId w:val="14"/>
        </w:numPr>
        <w:autoSpaceDE w:val="0"/>
        <w:autoSpaceDN w:val="0"/>
        <w:adjustRightInd w:val="0"/>
        <w:spacing w:line="300" w:lineRule="atLeast"/>
        <w:ind w:left="2306"/>
        <w:jc w:val="both"/>
        <w:rPr>
          <w:rFonts w:cs="Arial"/>
          <w:szCs w:val="20"/>
          <w:lang w:val="sl-SI" w:eastAsia="cs-CZ"/>
        </w:rPr>
      </w:pPr>
      <w:r w:rsidRPr="006D1761">
        <w:rPr>
          <w:rFonts w:cs="Arial"/>
          <w:szCs w:val="20"/>
          <w:lang w:val="sl-SI" w:eastAsia="cs-CZ"/>
        </w:rPr>
        <w:t>ponudniki javnih elektronskih komunikacijskih omrežij ali javno dostopnih elektronskih komunikacijskih storitev,</w:t>
      </w:r>
    </w:p>
    <w:p w14:paraId="65F93CDB" w14:textId="77777777" w:rsidR="00B249C1" w:rsidRPr="006D1761" w:rsidRDefault="00B249C1" w:rsidP="003B2726">
      <w:pPr>
        <w:widowControl w:val="0"/>
        <w:numPr>
          <w:ilvl w:val="0"/>
          <w:numId w:val="14"/>
        </w:numPr>
        <w:autoSpaceDE w:val="0"/>
        <w:autoSpaceDN w:val="0"/>
        <w:adjustRightInd w:val="0"/>
        <w:spacing w:line="300" w:lineRule="atLeast"/>
        <w:ind w:left="2306"/>
        <w:jc w:val="both"/>
        <w:rPr>
          <w:rFonts w:cs="Arial"/>
          <w:szCs w:val="20"/>
          <w:lang w:val="sl-SI" w:eastAsia="cs-CZ"/>
        </w:rPr>
      </w:pPr>
      <w:r w:rsidRPr="006D1761">
        <w:rPr>
          <w:rFonts w:cs="Arial"/>
          <w:szCs w:val="20"/>
          <w:lang w:val="sl-SI" w:eastAsia="cs-CZ"/>
        </w:rPr>
        <w:t>ponudniki storitev zaupanja,</w:t>
      </w:r>
    </w:p>
    <w:p w14:paraId="25A095AC" w14:textId="77777777" w:rsidR="00B249C1" w:rsidRPr="006D1761" w:rsidRDefault="00B249C1" w:rsidP="003B2726">
      <w:pPr>
        <w:widowControl w:val="0"/>
        <w:numPr>
          <w:ilvl w:val="0"/>
          <w:numId w:val="14"/>
        </w:numPr>
        <w:autoSpaceDE w:val="0"/>
        <w:autoSpaceDN w:val="0"/>
        <w:adjustRightInd w:val="0"/>
        <w:spacing w:line="300" w:lineRule="atLeast"/>
        <w:ind w:left="2306"/>
        <w:jc w:val="both"/>
        <w:rPr>
          <w:rFonts w:cs="Arial"/>
          <w:szCs w:val="20"/>
          <w:lang w:val="sl-SI" w:eastAsia="cs-CZ"/>
        </w:rPr>
      </w:pPr>
      <w:r w:rsidRPr="006D1761">
        <w:rPr>
          <w:rFonts w:cs="Arial"/>
          <w:szCs w:val="20"/>
          <w:lang w:val="sl-SI" w:eastAsia="cs-CZ"/>
        </w:rPr>
        <w:t>registri vrhnjih domenskih imen in ponudniki storitev sistema domenskih imen;</w:t>
      </w:r>
    </w:p>
    <w:p w14:paraId="1C9AA17B" w14:textId="77777777" w:rsidR="00B249C1" w:rsidRPr="006D1761" w:rsidRDefault="00B249C1" w:rsidP="003B2726">
      <w:pPr>
        <w:widowControl w:val="0"/>
        <w:numPr>
          <w:ilvl w:val="0"/>
          <w:numId w:val="14"/>
        </w:numPr>
        <w:autoSpaceDE w:val="0"/>
        <w:autoSpaceDN w:val="0"/>
        <w:adjustRightInd w:val="0"/>
        <w:spacing w:line="300" w:lineRule="atLeast"/>
        <w:ind w:left="1597"/>
        <w:jc w:val="both"/>
        <w:rPr>
          <w:rFonts w:cs="Arial"/>
          <w:szCs w:val="20"/>
          <w:lang w:val="sl-SI" w:eastAsia="cs-CZ"/>
        </w:rPr>
      </w:pPr>
      <w:r w:rsidRPr="006D1761">
        <w:rPr>
          <w:rFonts w:cs="Arial"/>
          <w:szCs w:val="20"/>
          <w:lang w:val="sl-SI" w:eastAsia="cs-CZ"/>
        </w:rPr>
        <w:t>2. je subjekt edini ponudnik storitve, ki je bistvena za ohranjanje kritičnih družbenih ali gospodarskih dejavnosti v Republiki Sloveniji;</w:t>
      </w:r>
    </w:p>
    <w:p w14:paraId="7331B5C9" w14:textId="77777777" w:rsidR="00B249C1" w:rsidRPr="006D1761" w:rsidRDefault="00B249C1" w:rsidP="003B2726">
      <w:pPr>
        <w:widowControl w:val="0"/>
        <w:numPr>
          <w:ilvl w:val="0"/>
          <w:numId w:val="14"/>
        </w:numPr>
        <w:autoSpaceDE w:val="0"/>
        <w:autoSpaceDN w:val="0"/>
        <w:adjustRightInd w:val="0"/>
        <w:spacing w:line="300" w:lineRule="atLeast"/>
        <w:ind w:left="1597"/>
        <w:jc w:val="both"/>
        <w:rPr>
          <w:rFonts w:cs="Arial"/>
          <w:szCs w:val="20"/>
          <w:lang w:val="sl-SI" w:eastAsia="cs-CZ"/>
        </w:rPr>
      </w:pPr>
      <w:r w:rsidRPr="006D1761">
        <w:rPr>
          <w:rFonts w:cs="Arial"/>
          <w:szCs w:val="20"/>
          <w:lang w:val="sl-SI" w:eastAsia="cs-CZ"/>
        </w:rPr>
        <w:t>3. bi motnja pri opravljanju storitve subjekta lahko pomembno vplivala na javni red, javno varnost ali javno zdravje;</w:t>
      </w:r>
    </w:p>
    <w:p w14:paraId="5517D282" w14:textId="77777777" w:rsidR="00B249C1" w:rsidRPr="006D1761" w:rsidRDefault="00B249C1" w:rsidP="003B2726">
      <w:pPr>
        <w:widowControl w:val="0"/>
        <w:numPr>
          <w:ilvl w:val="0"/>
          <w:numId w:val="14"/>
        </w:numPr>
        <w:autoSpaceDE w:val="0"/>
        <w:autoSpaceDN w:val="0"/>
        <w:adjustRightInd w:val="0"/>
        <w:spacing w:line="300" w:lineRule="atLeast"/>
        <w:ind w:left="1597"/>
        <w:jc w:val="both"/>
        <w:rPr>
          <w:rFonts w:cs="Arial"/>
          <w:szCs w:val="20"/>
          <w:lang w:val="sl-SI" w:eastAsia="cs-CZ"/>
        </w:rPr>
      </w:pPr>
      <w:r w:rsidRPr="006D1761">
        <w:rPr>
          <w:rFonts w:cs="Arial"/>
          <w:szCs w:val="20"/>
          <w:lang w:val="sl-SI" w:eastAsia="cs-CZ"/>
        </w:rPr>
        <w:t>4. bi motnja pri opravljanju storitve subjekta lahko povzročila pomembno sistemsko tveganje, zlasti za sektorje, v katerih bi lahko taka motnja imela čezmejni vpliv;</w:t>
      </w:r>
    </w:p>
    <w:p w14:paraId="0DF3B40D" w14:textId="77777777" w:rsidR="00B249C1" w:rsidRPr="006D1761" w:rsidRDefault="00B249C1" w:rsidP="003B2726">
      <w:pPr>
        <w:widowControl w:val="0"/>
        <w:numPr>
          <w:ilvl w:val="0"/>
          <w:numId w:val="14"/>
        </w:numPr>
        <w:autoSpaceDE w:val="0"/>
        <w:autoSpaceDN w:val="0"/>
        <w:adjustRightInd w:val="0"/>
        <w:spacing w:line="300" w:lineRule="atLeast"/>
        <w:ind w:left="1597"/>
        <w:jc w:val="both"/>
        <w:rPr>
          <w:rFonts w:cs="Arial"/>
          <w:szCs w:val="20"/>
          <w:lang w:val="sl-SI" w:eastAsia="cs-CZ"/>
        </w:rPr>
      </w:pPr>
      <w:r w:rsidRPr="006D1761">
        <w:rPr>
          <w:rFonts w:cs="Arial"/>
          <w:szCs w:val="20"/>
          <w:lang w:val="sl-SI" w:eastAsia="cs-CZ"/>
        </w:rPr>
        <w:t xml:space="preserve">5. je subjekt kritičen zaradi njegovega posebnega pomena na državni, </w:t>
      </w:r>
      <w:r w:rsidRPr="006D1761">
        <w:rPr>
          <w:rFonts w:cs="Arial"/>
          <w:szCs w:val="20"/>
          <w:lang w:val="sl-SI" w:eastAsia="cs-CZ"/>
        </w:rPr>
        <w:lastRenderedPageBreak/>
        <w:t>regionalni ali lokalni ravni za določen sektor ali vrsto storitve ali za druge medsebojno odvisne sektorje v Republiki Sloveniji;</w:t>
      </w:r>
    </w:p>
    <w:p w14:paraId="594EFCA3" w14:textId="77777777" w:rsidR="00B249C1" w:rsidRPr="006D1761" w:rsidRDefault="00B249C1" w:rsidP="003B2726">
      <w:pPr>
        <w:widowControl w:val="0"/>
        <w:numPr>
          <w:ilvl w:val="0"/>
          <w:numId w:val="14"/>
        </w:numPr>
        <w:autoSpaceDE w:val="0"/>
        <w:autoSpaceDN w:val="0"/>
        <w:adjustRightInd w:val="0"/>
        <w:spacing w:line="300" w:lineRule="atLeast"/>
        <w:ind w:left="1597"/>
        <w:jc w:val="both"/>
        <w:rPr>
          <w:rFonts w:cs="Arial"/>
          <w:szCs w:val="20"/>
          <w:lang w:val="sl-SI" w:eastAsia="cs-CZ"/>
        </w:rPr>
      </w:pPr>
      <w:r w:rsidRPr="006D1761">
        <w:rPr>
          <w:rFonts w:cs="Arial"/>
          <w:szCs w:val="20"/>
          <w:lang w:val="sl-SI" w:eastAsia="cs-CZ"/>
        </w:rPr>
        <w:t>6. gre za subjekt javne uprave na državni ravni ali na regionalni oziroma lokalni ravni, če pri slednjem izhaja iz ocene tveganja , da opravljajo storitve, katerih motnje bi lahko pomembno negativno vplivale na ključne družbene ali gospodarske dejavnosti.</w:t>
      </w:r>
    </w:p>
    <w:p w14:paraId="463ECF9B" w14:textId="7EA417A4" w:rsidR="00B249C1" w:rsidRPr="006D1761" w:rsidRDefault="00B249C1" w:rsidP="00AA0FB5">
      <w:pPr>
        <w:widowControl w:val="0"/>
        <w:numPr>
          <w:ilvl w:val="0"/>
          <w:numId w:val="14"/>
        </w:numPr>
        <w:autoSpaceDE w:val="0"/>
        <w:autoSpaceDN w:val="0"/>
        <w:adjustRightInd w:val="0"/>
        <w:spacing w:line="300" w:lineRule="atLeast"/>
        <w:jc w:val="both"/>
        <w:rPr>
          <w:rFonts w:cs="Arial"/>
          <w:szCs w:val="20"/>
          <w:lang w:val="sl-SI" w:eastAsia="cs-CZ"/>
        </w:rPr>
      </w:pPr>
      <w:r w:rsidRPr="006D1761">
        <w:rPr>
          <w:rFonts w:cs="Arial"/>
          <w:szCs w:val="20"/>
          <w:lang w:val="sl-SI" w:eastAsia="cs-CZ"/>
        </w:rPr>
        <w:t>zavezanci po predlogu zakona so tudi subjekti, ki so določeni kot kritični na podlagi zakona, ki ureja kritično infrastrukturo; subjekti, ki opravljajo storitve registracije domenskih imen, ne glede na njihovo velikost; ter subjekt</w:t>
      </w:r>
      <w:r w:rsidR="00AA0FB5">
        <w:rPr>
          <w:rFonts w:cs="Arial"/>
          <w:szCs w:val="20"/>
          <w:lang w:val="sl-SI" w:eastAsia="cs-CZ"/>
        </w:rPr>
        <w:t>i</w:t>
      </w:r>
      <w:r w:rsidRPr="006D1761">
        <w:rPr>
          <w:rFonts w:cs="Arial"/>
          <w:szCs w:val="20"/>
          <w:lang w:val="sl-SI" w:eastAsia="cs-CZ"/>
        </w:rPr>
        <w:t xml:space="preserve"> lokalne samouprave in sicer mestne občine in občine, ki imajo sedeže v krajih, kjer so sedeži upravnih enot;</w:t>
      </w:r>
    </w:p>
    <w:p w14:paraId="72AF57B4" w14:textId="77777777" w:rsidR="00B249C1" w:rsidRPr="006D1761" w:rsidRDefault="00B249C1" w:rsidP="00E1666F">
      <w:pPr>
        <w:numPr>
          <w:ilvl w:val="0"/>
          <w:numId w:val="14"/>
        </w:numPr>
        <w:contextualSpacing/>
        <w:jc w:val="both"/>
        <w:rPr>
          <w:rFonts w:cs="Arial"/>
          <w:szCs w:val="20"/>
          <w:lang w:val="sl-SI" w:eastAsia="cs-CZ"/>
        </w:rPr>
      </w:pPr>
      <w:r w:rsidRPr="006D1761">
        <w:rPr>
          <w:rFonts w:cs="Arial"/>
          <w:szCs w:val="20"/>
          <w:lang w:val="sl-SI" w:eastAsia="cs-CZ"/>
        </w:rPr>
        <w:t>pristojni nacionalni organ vzpostavi mehanizem za samoregistracijo zavezancev;</w:t>
      </w:r>
    </w:p>
    <w:p w14:paraId="4BC491E5" w14:textId="77777777" w:rsidR="00B249C1" w:rsidRPr="006D1761" w:rsidRDefault="00B249C1" w:rsidP="00E1666F">
      <w:pPr>
        <w:numPr>
          <w:ilvl w:val="0"/>
          <w:numId w:val="14"/>
        </w:numPr>
        <w:contextualSpacing/>
        <w:jc w:val="both"/>
        <w:rPr>
          <w:rFonts w:cs="Arial"/>
          <w:szCs w:val="20"/>
          <w:lang w:val="sl-SI"/>
        </w:rPr>
      </w:pPr>
      <w:r w:rsidRPr="006D1761">
        <w:rPr>
          <w:rFonts w:cs="Arial"/>
          <w:szCs w:val="20"/>
          <w:lang w:val="sl-SI" w:eastAsia="cs-CZ"/>
        </w:rPr>
        <w:t>zavezanci v procesu samoregistracije določijo kontaktno osebo ter sporočijo kontaktne podatke, dodeljene bloke javnih naslovov IP in lastnih domenskih imen za potrebe elektronske pošte; ustrezen sektor in podsektor iz Priloge I ali II v katerem zavezanec izvaja vrste storitev iz teh prilog ali kategorijo zavezancev, ki niso vključeni v navedenih prilogah.</w:t>
      </w:r>
    </w:p>
    <w:p w14:paraId="4741F103" w14:textId="77777777" w:rsidR="00B249C1" w:rsidRPr="006D1761" w:rsidRDefault="00B249C1" w:rsidP="00B249C1">
      <w:pPr>
        <w:spacing w:line="240" w:lineRule="exact"/>
        <w:jc w:val="both"/>
        <w:rPr>
          <w:rFonts w:cs="Arial"/>
          <w:szCs w:val="20"/>
          <w:lang w:val="sl-SI"/>
        </w:rPr>
      </w:pPr>
    </w:p>
    <w:p w14:paraId="5E1D0EC0" w14:textId="77777777" w:rsidR="00B249C1" w:rsidRPr="006D1761" w:rsidRDefault="00B249C1" w:rsidP="00B249C1">
      <w:pPr>
        <w:spacing w:line="240" w:lineRule="exact"/>
        <w:jc w:val="both"/>
        <w:rPr>
          <w:rFonts w:cs="Arial"/>
          <w:szCs w:val="20"/>
          <w:lang w:val="sl-SI"/>
        </w:rPr>
      </w:pPr>
      <w:r w:rsidRPr="006D1761">
        <w:rPr>
          <w:rFonts w:cs="Arial"/>
          <w:b/>
          <w:bCs/>
          <w:szCs w:val="20"/>
          <w:lang w:val="sl-SI"/>
        </w:rPr>
        <w:t>III.</w:t>
      </w:r>
      <w:r w:rsidRPr="006D1761">
        <w:rPr>
          <w:rFonts w:cs="Arial"/>
          <w:szCs w:val="20"/>
          <w:lang w:val="sl-SI"/>
        </w:rPr>
        <w:t xml:space="preserve"> </w:t>
      </w:r>
      <w:r w:rsidRPr="006D1761">
        <w:rPr>
          <w:rFonts w:cs="Arial"/>
          <w:b/>
          <w:szCs w:val="20"/>
          <w:lang w:val="sl-SI"/>
        </w:rPr>
        <w:t>Organizacija</w:t>
      </w:r>
      <w:r w:rsidRPr="006D1761">
        <w:rPr>
          <w:rFonts w:cs="Arial"/>
          <w:szCs w:val="20"/>
          <w:lang w:val="sl-SI"/>
        </w:rPr>
        <w:t xml:space="preserve"> </w:t>
      </w:r>
      <w:r w:rsidRPr="006D1761">
        <w:rPr>
          <w:rFonts w:cs="Arial"/>
          <w:b/>
          <w:bCs/>
          <w:szCs w:val="20"/>
          <w:lang w:val="sl-SI"/>
        </w:rPr>
        <w:t>nacionalnega sistema informacijske varnosti</w:t>
      </w:r>
    </w:p>
    <w:p w14:paraId="1BCBB3F1" w14:textId="77777777" w:rsidR="00B249C1" w:rsidRPr="006D1761" w:rsidRDefault="00B249C1" w:rsidP="00B249C1">
      <w:pPr>
        <w:spacing w:line="240" w:lineRule="exact"/>
        <w:jc w:val="both"/>
        <w:rPr>
          <w:rFonts w:cs="Arial"/>
          <w:szCs w:val="20"/>
          <w:lang w:val="sl-SI"/>
        </w:rPr>
      </w:pPr>
    </w:p>
    <w:p w14:paraId="70C2F65F" w14:textId="77777777" w:rsidR="00B249C1" w:rsidRPr="006D1761" w:rsidRDefault="00B249C1" w:rsidP="003B2726">
      <w:pPr>
        <w:numPr>
          <w:ilvl w:val="0"/>
          <w:numId w:val="14"/>
        </w:numPr>
        <w:spacing w:line="240" w:lineRule="exact"/>
        <w:jc w:val="both"/>
        <w:rPr>
          <w:rFonts w:cs="Arial"/>
          <w:szCs w:val="20"/>
          <w:lang w:val="sl-SI"/>
        </w:rPr>
      </w:pPr>
      <w:r w:rsidRPr="006D1761">
        <w:rPr>
          <w:rFonts w:cs="Arial"/>
          <w:szCs w:val="20"/>
          <w:lang w:val="sl-SI"/>
        </w:rPr>
        <w:t>strategija kibernetske varnosti (strategija) predstavlja okvir za izvedbo ukrepov za vzpostavitev učinkovitega nacionalnega sistema zagotavljanja informacijske oziroma kibernetske varnosti;</w:t>
      </w:r>
    </w:p>
    <w:p w14:paraId="027281D8" w14:textId="77777777" w:rsidR="00B249C1" w:rsidRPr="006D1761" w:rsidRDefault="00B249C1" w:rsidP="003B2726">
      <w:pPr>
        <w:numPr>
          <w:ilvl w:val="0"/>
          <w:numId w:val="14"/>
        </w:numPr>
        <w:spacing w:line="240" w:lineRule="exact"/>
        <w:jc w:val="both"/>
        <w:rPr>
          <w:rFonts w:cs="Arial"/>
          <w:szCs w:val="20"/>
          <w:lang w:val="sl-SI"/>
        </w:rPr>
      </w:pPr>
      <w:r w:rsidRPr="006D1761">
        <w:rPr>
          <w:rFonts w:cs="Arial"/>
          <w:szCs w:val="20"/>
          <w:lang w:val="sl-SI"/>
        </w:rPr>
        <w:t>pristojni nacionalni organ je Urad Vlade Republike Slovenije za informacijsko varnost, ki poleg drugih nalog, določenih s predlogom tega zakona, izvaja še naloge, ki so taksativno naštete v določbi o pristojnem nacionalnem organu. Pri tem na primer koordinira delovanje sistema informacijske varnosti, razvija zmogljivosti za izvajanje kibernetske obrambe, zavezancem nudi strokovno podporo, sodeluje z drugimi pristojnimi organi in organizacijami, je enotna kontaktna točka za zagotavljanje čezmejnega sodelovanja z ustreznimi organi drugih držav članic EU in izvaja druge naloge mednarodnega sodelovanja;</w:t>
      </w:r>
    </w:p>
    <w:p w14:paraId="7DEBDB29" w14:textId="3FAE09A7" w:rsidR="00B249C1" w:rsidRPr="00545B7C" w:rsidRDefault="00B249C1" w:rsidP="003B2726">
      <w:pPr>
        <w:numPr>
          <w:ilvl w:val="0"/>
          <w:numId w:val="14"/>
        </w:numPr>
        <w:spacing w:line="240" w:lineRule="exact"/>
        <w:jc w:val="both"/>
        <w:rPr>
          <w:rFonts w:cs="Arial"/>
          <w:szCs w:val="20"/>
          <w:lang w:val="sl-SI"/>
        </w:rPr>
      </w:pPr>
      <w:r w:rsidRPr="006D1761">
        <w:rPr>
          <w:rFonts w:cs="Arial"/>
          <w:szCs w:val="20"/>
          <w:lang w:val="sl-SI"/>
        </w:rPr>
        <w:t xml:space="preserve">Urad Vlade Republike Slovenije za informacijsko varnost je tudi pristojni organ za </w:t>
      </w:r>
      <w:r w:rsidRPr="00545B7C">
        <w:rPr>
          <w:rFonts w:cs="Arial"/>
          <w:szCs w:val="20"/>
          <w:lang w:val="sl-SI"/>
        </w:rPr>
        <w:t>obvladovanje kibernetskih incidentov velikih razsežnosti in kriz;</w:t>
      </w:r>
    </w:p>
    <w:p w14:paraId="5C43ADBB" w14:textId="512EFDE4" w:rsidR="00B249C1" w:rsidRPr="00545B7C" w:rsidRDefault="00B249C1" w:rsidP="003B2726">
      <w:pPr>
        <w:numPr>
          <w:ilvl w:val="0"/>
          <w:numId w:val="14"/>
        </w:numPr>
        <w:spacing w:line="240" w:lineRule="exact"/>
        <w:jc w:val="both"/>
        <w:rPr>
          <w:rFonts w:cs="Arial"/>
          <w:szCs w:val="20"/>
          <w:lang w:val="sl-SI"/>
        </w:rPr>
      </w:pPr>
      <w:r w:rsidRPr="00545B7C">
        <w:rPr>
          <w:rFonts w:cs="Arial"/>
          <w:szCs w:val="20"/>
          <w:lang w:val="sl-SI"/>
        </w:rPr>
        <w:t>skupin</w:t>
      </w:r>
      <w:r w:rsidR="00493669" w:rsidRPr="00545B7C">
        <w:rPr>
          <w:rFonts w:cs="Arial"/>
          <w:szCs w:val="20"/>
          <w:lang w:val="sl-SI"/>
        </w:rPr>
        <w:t>e</w:t>
      </w:r>
      <w:r w:rsidRPr="00545B7C">
        <w:rPr>
          <w:rFonts w:cs="Arial"/>
          <w:szCs w:val="20"/>
          <w:lang w:val="sl-SI"/>
        </w:rPr>
        <w:t xml:space="preserve"> za odzivanje na incidente na področju računalniške varnosti (skupine CSIRTI) </w:t>
      </w:r>
    </w:p>
    <w:p w14:paraId="2B6CB6D3" w14:textId="77777777" w:rsidR="00B249C1" w:rsidRPr="00545B7C" w:rsidRDefault="00B249C1" w:rsidP="003B2726">
      <w:pPr>
        <w:numPr>
          <w:ilvl w:val="0"/>
          <w:numId w:val="14"/>
        </w:numPr>
        <w:spacing w:line="240" w:lineRule="exact"/>
        <w:jc w:val="both"/>
        <w:rPr>
          <w:rFonts w:cs="Arial"/>
          <w:szCs w:val="20"/>
          <w:lang w:val="sl-SI"/>
        </w:rPr>
      </w:pPr>
      <w:r w:rsidRPr="006D1761">
        <w:rPr>
          <w:rFonts w:cs="Arial"/>
          <w:szCs w:val="20"/>
          <w:lang w:val="sl-SI"/>
        </w:rPr>
        <w:t xml:space="preserve">predlog zakona določa, zahteve in tehnične zmogljivosti skupin CSIRT, njihove naloge </w:t>
      </w:r>
      <w:r w:rsidRPr="00545B7C">
        <w:rPr>
          <w:rFonts w:cs="Arial"/>
          <w:szCs w:val="20"/>
          <w:lang w:val="sl-SI"/>
        </w:rPr>
        <w:t>ter sodelovanje skupin CSIRT z deležniki zasebnega sektorja;</w:t>
      </w:r>
    </w:p>
    <w:p w14:paraId="04AE98F8" w14:textId="54707214" w:rsidR="00B249C1" w:rsidRPr="00545B7C" w:rsidRDefault="00B249C1" w:rsidP="003B2726">
      <w:pPr>
        <w:numPr>
          <w:ilvl w:val="0"/>
          <w:numId w:val="14"/>
        </w:numPr>
        <w:spacing w:line="240" w:lineRule="exact"/>
        <w:jc w:val="both"/>
        <w:rPr>
          <w:rFonts w:cs="Arial"/>
          <w:szCs w:val="20"/>
          <w:lang w:val="sl-SI"/>
        </w:rPr>
      </w:pPr>
      <w:r w:rsidRPr="00545B7C">
        <w:rPr>
          <w:rFonts w:cs="Arial"/>
          <w:szCs w:val="20"/>
          <w:lang w:val="sl-SI"/>
        </w:rPr>
        <w:t>koordinator</w:t>
      </w:r>
      <w:r w:rsidR="00E1666F" w:rsidRPr="00545B7C">
        <w:rPr>
          <w:rFonts w:cs="Arial"/>
          <w:szCs w:val="20"/>
          <w:lang w:val="sl-SI"/>
        </w:rPr>
        <w:t>ja</w:t>
      </w:r>
      <w:r w:rsidRPr="00545B7C">
        <w:rPr>
          <w:rFonts w:cs="Arial"/>
          <w:szCs w:val="20"/>
          <w:lang w:val="sl-SI"/>
        </w:rPr>
        <w:t xml:space="preserve"> za usklajeno razkrivanje ranljivosti v Republiki Sloveniji (v nadaljnjem besedilu koordinator), ki deluje kot zaupanja vreden posrednik;</w:t>
      </w:r>
    </w:p>
    <w:p w14:paraId="392F0D2E" w14:textId="1401371E" w:rsidR="00B249C1" w:rsidRPr="006D1761" w:rsidRDefault="00B249C1" w:rsidP="003B2726">
      <w:pPr>
        <w:numPr>
          <w:ilvl w:val="0"/>
          <w:numId w:val="14"/>
        </w:numPr>
        <w:spacing w:line="240" w:lineRule="exact"/>
        <w:jc w:val="both"/>
        <w:rPr>
          <w:rFonts w:cs="Arial"/>
          <w:szCs w:val="20"/>
          <w:lang w:val="sl-SI"/>
        </w:rPr>
      </w:pPr>
      <w:r w:rsidRPr="006D1761">
        <w:rPr>
          <w:rFonts w:cs="Arial"/>
          <w:szCs w:val="20"/>
          <w:lang w:val="sl-SI"/>
        </w:rPr>
        <w:t>predlog zakona opredeljuje sodelovanje na nacionalni ravni</w:t>
      </w:r>
      <w:r w:rsidR="00493669">
        <w:rPr>
          <w:rFonts w:cs="Arial"/>
          <w:szCs w:val="20"/>
          <w:lang w:val="sl-SI"/>
        </w:rPr>
        <w:t xml:space="preserve"> in</w:t>
      </w:r>
      <w:r w:rsidRPr="006D1761">
        <w:rPr>
          <w:rFonts w:cs="Arial"/>
          <w:szCs w:val="20"/>
          <w:lang w:val="sl-SI"/>
        </w:rPr>
        <w:t xml:space="preserve"> medsebojni strokovni pregled</w:t>
      </w:r>
      <w:r w:rsidR="00493669">
        <w:rPr>
          <w:rFonts w:cs="Arial"/>
          <w:szCs w:val="20"/>
          <w:lang w:val="sl-SI"/>
        </w:rPr>
        <w:t>.</w:t>
      </w:r>
    </w:p>
    <w:p w14:paraId="5D196232" w14:textId="77777777" w:rsidR="00B249C1" w:rsidRPr="006D1761" w:rsidRDefault="00B249C1" w:rsidP="00B249C1">
      <w:pPr>
        <w:spacing w:line="240" w:lineRule="exact"/>
        <w:jc w:val="both"/>
        <w:rPr>
          <w:rFonts w:cs="Arial"/>
          <w:szCs w:val="20"/>
          <w:lang w:val="sl-SI"/>
        </w:rPr>
      </w:pPr>
    </w:p>
    <w:p w14:paraId="31D8F2C1" w14:textId="77777777" w:rsidR="00B249C1" w:rsidRPr="006D1761" w:rsidRDefault="00B249C1" w:rsidP="00B249C1">
      <w:pPr>
        <w:spacing w:line="240" w:lineRule="exact"/>
        <w:jc w:val="both"/>
        <w:rPr>
          <w:rFonts w:cs="Arial"/>
          <w:b/>
          <w:szCs w:val="20"/>
          <w:lang w:val="sl-SI"/>
        </w:rPr>
      </w:pPr>
      <w:r w:rsidRPr="006D1761">
        <w:rPr>
          <w:rFonts w:cs="Arial"/>
          <w:b/>
          <w:szCs w:val="20"/>
          <w:lang w:val="sl-SI"/>
        </w:rPr>
        <w:t>IV. Ukrepi za obvladovanje tveganj in priglasitve incidentov</w:t>
      </w:r>
    </w:p>
    <w:p w14:paraId="6AE5A0BD" w14:textId="77777777" w:rsidR="00B249C1" w:rsidRPr="006D1761" w:rsidRDefault="00B249C1" w:rsidP="00B249C1">
      <w:pPr>
        <w:spacing w:line="240" w:lineRule="exact"/>
        <w:jc w:val="both"/>
        <w:rPr>
          <w:rFonts w:cs="Arial"/>
          <w:b/>
          <w:szCs w:val="20"/>
          <w:lang w:val="sl-SI"/>
        </w:rPr>
      </w:pPr>
    </w:p>
    <w:p w14:paraId="06546F92" w14:textId="6768E077" w:rsidR="00B249C1" w:rsidRDefault="00B249C1" w:rsidP="003B2726">
      <w:pPr>
        <w:numPr>
          <w:ilvl w:val="0"/>
          <w:numId w:val="14"/>
        </w:numPr>
        <w:spacing w:line="240" w:lineRule="exact"/>
        <w:jc w:val="both"/>
        <w:rPr>
          <w:rFonts w:cs="Arial"/>
          <w:szCs w:val="20"/>
          <w:lang w:val="sl-SI"/>
        </w:rPr>
      </w:pPr>
      <w:r w:rsidRPr="006D1761">
        <w:rPr>
          <w:rFonts w:cs="Arial"/>
          <w:szCs w:val="20"/>
          <w:lang w:val="sl-SI"/>
        </w:rPr>
        <w:t>določeno je upravljanje in odgovornost za izvajanje ukrepov za obvladovanje tveganj za kibernetsko varnost, ukrepi za obvladovanje tveganj za kibernetsko varnost bistvenih in pomembnih subjektov</w:t>
      </w:r>
      <w:r w:rsidR="00D65F6C">
        <w:rPr>
          <w:rFonts w:cs="Arial"/>
          <w:szCs w:val="20"/>
          <w:lang w:val="sl-SI"/>
        </w:rPr>
        <w:t>;</w:t>
      </w:r>
    </w:p>
    <w:p w14:paraId="1CB93C77" w14:textId="19B334C6" w:rsidR="00D65F6C" w:rsidRDefault="00D65F6C" w:rsidP="003B2726">
      <w:pPr>
        <w:numPr>
          <w:ilvl w:val="0"/>
          <w:numId w:val="14"/>
        </w:numPr>
        <w:spacing w:line="240" w:lineRule="exact"/>
        <w:jc w:val="both"/>
        <w:rPr>
          <w:rFonts w:cs="Arial"/>
          <w:szCs w:val="20"/>
          <w:lang w:val="sl-SI"/>
        </w:rPr>
      </w:pPr>
      <w:r>
        <w:rPr>
          <w:rFonts w:cs="Arial"/>
          <w:szCs w:val="20"/>
          <w:lang w:val="sl-SI"/>
        </w:rPr>
        <w:t>za za</w:t>
      </w:r>
      <w:r w:rsidRPr="00D65F6C">
        <w:rPr>
          <w:rFonts w:cs="Arial"/>
          <w:szCs w:val="20"/>
          <w:lang w:val="sl-SI"/>
        </w:rPr>
        <w:t>gotavljanje visoke ravni informacijske in kibernetske varnosti in odpornosti svojih omrežnih in informacijskih sistemov vzpostavijo in vzdržujejo dokumentiran sistem upravljanja varovanja informacij ter sistem upravljanja neprekinjenega poslovanja, ki temeljita na pristopu upoštevanja vseh nevarnosti</w:t>
      </w:r>
      <w:r>
        <w:rPr>
          <w:rFonts w:cs="Arial"/>
          <w:szCs w:val="20"/>
          <w:lang w:val="sl-SI"/>
        </w:rPr>
        <w:t>;</w:t>
      </w:r>
    </w:p>
    <w:p w14:paraId="54142F5A" w14:textId="73BB25EB" w:rsidR="00D65F6C" w:rsidRPr="00D65F6C" w:rsidRDefault="00B249C1" w:rsidP="00D65F6C">
      <w:pPr>
        <w:numPr>
          <w:ilvl w:val="0"/>
          <w:numId w:val="14"/>
        </w:numPr>
        <w:spacing w:line="240" w:lineRule="exact"/>
        <w:jc w:val="both"/>
        <w:rPr>
          <w:rFonts w:cs="Arial"/>
          <w:szCs w:val="20"/>
          <w:lang w:val="sl-SI"/>
        </w:rPr>
      </w:pPr>
      <w:r w:rsidRPr="00D65F6C">
        <w:rPr>
          <w:rFonts w:cs="Arial"/>
          <w:szCs w:val="20"/>
          <w:lang w:val="sl-SI"/>
        </w:rPr>
        <w:t xml:space="preserve"> v skladu z določbami tega zakona</w:t>
      </w:r>
      <w:r w:rsidRPr="00D65F6C" w:rsidDel="00406849">
        <w:rPr>
          <w:rFonts w:cs="Arial"/>
          <w:szCs w:val="20"/>
          <w:lang w:val="sl-SI"/>
        </w:rPr>
        <w:t xml:space="preserve"> </w:t>
      </w:r>
      <w:r w:rsidR="00D65F6C" w:rsidRPr="00D65F6C">
        <w:rPr>
          <w:rFonts w:cs="Arial"/>
          <w:szCs w:val="20"/>
          <w:lang w:val="sl-SI"/>
        </w:rPr>
        <w:t xml:space="preserve">so </w:t>
      </w:r>
      <w:r w:rsidR="00D65F6C">
        <w:rPr>
          <w:rFonts w:cs="Arial"/>
          <w:szCs w:val="20"/>
          <w:lang w:val="sl-SI"/>
        </w:rPr>
        <w:t xml:space="preserve">določeni </w:t>
      </w:r>
      <w:r w:rsidR="00D65F6C" w:rsidRPr="00D65F6C">
        <w:rPr>
          <w:rFonts w:cs="Arial"/>
          <w:szCs w:val="20"/>
          <w:lang w:val="sl-SI"/>
        </w:rPr>
        <w:t>ukrepi za obvladovanje tveganj za kibernetsko varnost bistvenih in pomembnih subjektov</w:t>
      </w:r>
      <w:r w:rsidR="00D65F6C">
        <w:rPr>
          <w:rFonts w:cs="Arial"/>
          <w:szCs w:val="20"/>
          <w:lang w:val="sl-SI"/>
        </w:rPr>
        <w:t>;</w:t>
      </w:r>
    </w:p>
    <w:p w14:paraId="54DFC309" w14:textId="77777777" w:rsidR="00B249C1" w:rsidRPr="006D1761" w:rsidRDefault="00B249C1" w:rsidP="003B2726">
      <w:pPr>
        <w:numPr>
          <w:ilvl w:val="0"/>
          <w:numId w:val="14"/>
        </w:numPr>
        <w:spacing w:line="240" w:lineRule="exact"/>
        <w:jc w:val="both"/>
        <w:rPr>
          <w:rFonts w:cs="Arial"/>
          <w:szCs w:val="20"/>
          <w:lang w:val="sl-SI"/>
        </w:rPr>
      </w:pPr>
      <w:r w:rsidRPr="006D1761">
        <w:rPr>
          <w:rFonts w:cs="Arial"/>
          <w:szCs w:val="20"/>
          <w:lang w:val="sl-SI"/>
        </w:rPr>
        <w:t>določena je obveza posredovanja podatkov in informacij, ki jih morajo zavezanci na zahtevo posredovati pristojnemu nacionalnemu organu;</w:t>
      </w:r>
    </w:p>
    <w:p w14:paraId="274A0BD5" w14:textId="77777777" w:rsidR="00B249C1" w:rsidRPr="006D1761" w:rsidRDefault="00B249C1" w:rsidP="003B2726">
      <w:pPr>
        <w:numPr>
          <w:ilvl w:val="0"/>
          <w:numId w:val="14"/>
        </w:numPr>
        <w:spacing w:line="240" w:lineRule="exact"/>
        <w:jc w:val="both"/>
        <w:rPr>
          <w:rFonts w:cs="Arial"/>
          <w:szCs w:val="20"/>
          <w:lang w:val="sl-SI"/>
        </w:rPr>
      </w:pPr>
      <w:r w:rsidRPr="006D1761">
        <w:rPr>
          <w:rFonts w:cs="Arial"/>
          <w:szCs w:val="20"/>
          <w:lang w:val="sl-SI"/>
        </w:rPr>
        <w:lastRenderedPageBreak/>
        <w:t>zaradi zagotavljanja višje ravni kibernetske varnosti zavezanci uporabljajo certifikacijske sheme za kibernetsko varnost in v čim večji meri uporabljajo evropske in mednarodne standarde in tehnične specifikacije;</w:t>
      </w:r>
    </w:p>
    <w:p w14:paraId="5EB4C2DE" w14:textId="08557C90" w:rsidR="00B249C1" w:rsidRPr="006D1761" w:rsidRDefault="00B249C1" w:rsidP="003B2726">
      <w:pPr>
        <w:numPr>
          <w:ilvl w:val="0"/>
          <w:numId w:val="14"/>
        </w:numPr>
        <w:spacing w:line="240" w:lineRule="exact"/>
        <w:jc w:val="both"/>
        <w:rPr>
          <w:rFonts w:cs="Arial"/>
          <w:szCs w:val="20"/>
          <w:lang w:val="sl-SI"/>
        </w:rPr>
      </w:pPr>
      <w:r w:rsidRPr="006D1761">
        <w:rPr>
          <w:rFonts w:cs="Arial"/>
          <w:szCs w:val="20"/>
          <w:lang w:val="sl-SI"/>
        </w:rPr>
        <w:t>zavezanci pristojni skupini CSIRT brez nepotrebnega odlašanja, po predpisanem postopku, priglasijo vse incidente, ki imajo pomemben vpliv na zagotavljanje njihovih storitev</w:t>
      </w:r>
      <w:r w:rsidR="00D65F6C">
        <w:rPr>
          <w:rFonts w:cs="Arial"/>
          <w:szCs w:val="20"/>
          <w:lang w:val="sl-SI"/>
        </w:rPr>
        <w:t>.</w:t>
      </w:r>
    </w:p>
    <w:p w14:paraId="57A4AC58" w14:textId="77777777" w:rsidR="00B249C1" w:rsidRPr="006D1761" w:rsidRDefault="00B249C1" w:rsidP="00B249C1">
      <w:pPr>
        <w:spacing w:line="240" w:lineRule="exact"/>
        <w:jc w:val="both"/>
        <w:rPr>
          <w:rFonts w:cs="Arial"/>
          <w:b/>
          <w:szCs w:val="20"/>
          <w:lang w:val="sl-SI"/>
        </w:rPr>
      </w:pPr>
    </w:p>
    <w:p w14:paraId="637482CF" w14:textId="77777777" w:rsidR="00B249C1" w:rsidRPr="006D1761" w:rsidRDefault="00B249C1" w:rsidP="00B249C1">
      <w:pPr>
        <w:spacing w:line="240" w:lineRule="exact"/>
        <w:jc w:val="both"/>
        <w:rPr>
          <w:rFonts w:cs="Arial"/>
          <w:b/>
          <w:szCs w:val="20"/>
          <w:lang w:val="sl-SI"/>
        </w:rPr>
      </w:pPr>
      <w:r w:rsidRPr="006D1761">
        <w:rPr>
          <w:rFonts w:cs="Arial"/>
          <w:b/>
          <w:szCs w:val="20"/>
          <w:lang w:val="sl-SI"/>
        </w:rPr>
        <w:t>V. Pristojnost in registracija</w:t>
      </w:r>
    </w:p>
    <w:p w14:paraId="07CB2D0C" w14:textId="77777777" w:rsidR="00B249C1" w:rsidRPr="006D1761" w:rsidRDefault="00B249C1" w:rsidP="00B249C1">
      <w:pPr>
        <w:spacing w:line="240" w:lineRule="exact"/>
        <w:jc w:val="both"/>
        <w:rPr>
          <w:rFonts w:cs="Arial"/>
          <w:b/>
          <w:szCs w:val="20"/>
          <w:lang w:val="sl-SI"/>
        </w:rPr>
      </w:pPr>
    </w:p>
    <w:p w14:paraId="188BE3C7" w14:textId="77777777" w:rsidR="00B249C1" w:rsidRPr="006D1761" w:rsidRDefault="00B249C1" w:rsidP="003B2726">
      <w:pPr>
        <w:numPr>
          <w:ilvl w:val="0"/>
          <w:numId w:val="14"/>
        </w:numPr>
        <w:spacing w:line="240" w:lineRule="exact"/>
        <w:jc w:val="both"/>
        <w:rPr>
          <w:rFonts w:cs="Arial"/>
          <w:szCs w:val="20"/>
          <w:lang w:val="sl-SI"/>
        </w:rPr>
      </w:pPr>
      <w:r w:rsidRPr="006D1761">
        <w:rPr>
          <w:rFonts w:cs="Arial"/>
          <w:szCs w:val="20"/>
          <w:lang w:val="sl-SI"/>
        </w:rPr>
        <w:t>predlog zakona določa pristojnost pristojne skupine CSIRT, za zavezance, ki ji priglašajo incidente, če jih je ustanovila Republika Slovenija ali imajo sedež v Republiki Sloveniji.</w:t>
      </w:r>
    </w:p>
    <w:p w14:paraId="49AE0888" w14:textId="77777777" w:rsidR="00B249C1" w:rsidRPr="006D1761" w:rsidRDefault="00B249C1" w:rsidP="003B2726">
      <w:pPr>
        <w:numPr>
          <w:ilvl w:val="0"/>
          <w:numId w:val="14"/>
        </w:numPr>
        <w:spacing w:line="240" w:lineRule="exact"/>
        <w:jc w:val="both"/>
        <w:rPr>
          <w:rFonts w:cs="Arial"/>
          <w:szCs w:val="20"/>
          <w:lang w:val="sl-SI"/>
        </w:rPr>
      </w:pPr>
      <w:r w:rsidRPr="006D1761">
        <w:rPr>
          <w:rFonts w:cs="Arial"/>
          <w:szCs w:val="20"/>
          <w:lang w:val="sl-SI"/>
        </w:rPr>
        <w:t>predlog zakona ureja teritorialnost in določa pristojnost v EU ter zbiranje informacij za register ponudnikov storitev pri ENISA ter določa podlago za vzpostavitev podatkovne zbirke o registraciji domenskih imen</w:t>
      </w:r>
    </w:p>
    <w:p w14:paraId="348A2EEF" w14:textId="77777777" w:rsidR="00B249C1" w:rsidRPr="006D1761" w:rsidRDefault="00B249C1" w:rsidP="00B249C1">
      <w:pPr>
        <w:spacing w:line="240" w:lineRule="exact"/>
        <w:jc w:val="both"/>
        <w:rPr>
          <w:rFonts w:cs="Arial"/>
          <w:szCs w:val="20"/>
          <w:u w:val="single"/>
          <w:lang w:val="sl-SI"/>
        </w:rPr>
      </w:pPr>
    </w:p>
    <w:p w14:paraId="34376563" w14:textId="77777777" w:rsidR="00B249C1" w:rsidRPr="006D1761" w:rsidRDefault="00B249C1" w:rsidP="00B249C1">
      <w:pPr>
        <w:spacing w:line="240" w:lineRule="exact"/>
        <w:jc w:val="both"/>
        <w:rPr>
          <w:rFonts w:cs="Arial"/>
          <w:b/>
          <w:szCs w:val="20"/>
          <w:lang w:val="sl-SI"/>
        </w:rPr>
      </w:pPr>
      <w:r w:rsidRPr="006D1761">
        <w:rPr>
          <w:rFonts w:cs="Arial"/>
          <w:b/>
          <w:szCs w:val="20"/>
          <w:lang w:val="sl-SI"/>
        </w:rPr>
        <w:t>VI. Izmenjava informacij</w:t>
      </w:r>
    </w:p>
    <w:p w14:paraId="4C394348" w14:textId="77777777" w:rsidR="00B249C1" w:rsidRPr="006D1761" w:rsidRDefault="00B249C1" w:rsidP="00B249C1">
      <w:pPr>
        <w:spacing w:line="240" w:lineRule="exact"/>
        <w:jc w:val="both"/>
        <w:rPr>
          <w:rFonts w:cs="Arial"/>
          <w:b/>
          <w:szCs w:val="20"/>
          <w:lang w:val="sl-SI"/>
        </w:rPr>
      </w:pPr>
    </w:p>
    <w:p w14:paraId="4BD70376" w14:textId="77777777" w:rsidR="00B249C1" w:rsidRPr="006D1761" w:rsidRDefault="00B249C1" w:rsidP="003B2726">
      <w:pPr>
        <w:numPr>
          <w:ilvl w:val="0"/>
          <w:numId w:val="14"/>
        </w:numPr>
        <w:spacing w:line="240" w:lineRule="exact"/>
        <w:jc w:val="both"/>
        <w:rPr>
          <w:rFonts w:cs="Arial"/>
          <w:szCs w:val="20"/>
          <w:lang w:val="sl-SI"/>
        </w:rPr>
      </w:pPr>
      <w:r w:rsidRPr="006D1761">
        <w:rPr>
          <w:rFonts w:cs="Arial"/>
          <w:szCs w:val="20"/>
          <w:lang w:val="sl-SI"/>
        </w:rPr>
        <w:t>zavezanci na podlagi tega zakona ter, kadar je to ustrezno, tudi drugi subjekti, si lahko prostovoljno izmenjujejo ustrezne informacije o kibernetski varnosti, vključno z informacijami, ki se nanašajo na kibernetske grožnje, skorajšnje incidente, ranljivosti, tehnike in postopke, kazalnike ogroženosti, sovražne taktike, specifične informacije o grožnji in akterju, opozorila glede kibernetske varnosti in priporočila glede konfiguracije orodij za kibernetsko varnost za zaznavo zlonamernih kibernetskih aktivnosti;</w:t>
      </w:r>
    </w:p>
    <w:p w14:paraId="12ACABB3" w14:textId="77777777" w:rsidR="00B249C1" w:rsidRPr="006D1761" w:rsidRDefault="00B249C1" w:rsidP="003B2726">
      <w:pPr>
        <w:numPr>
          <w:ilvl w:val="0"/>
          <w:numId w:val="14"/>
        </w:numPr>
        <w:spacing w:line="240" w:lineRule="exact"/>
        <w:jc w:val="both"/>
        <w:rPr>
          <w:rFonts w:cs="Arial"/>
          <w:szCs w:val="20"/>
          <w:lang w:val="sl-SI"/>
        </w:rPr>
      </w:pPr>
      <w:r w:rsidRPr="006D1761">
        <w:rPr>
          <w:rFonts w:cs="Arial"/>
          <w:szCs w:val="20"/>
          <w:lang w:val="sl-SI"/>
        </w:rPr>
        <w:t>zavezanci lahko poleg obvezne priglasitve skupinam CSIRT prostovoljno priglasijo incidente, kibernetske grožnje in skorajšnje incidente;</w:t>
      </w:r>
    </w:p>
    <w:p w14:paraId="05439FBD" w14:textId="77777777" w:rsidR="00B249C1" w:rsidRPr="006D1761" w:rsidRDefault="00B249C1" w:rsidP="003B2726">
      <w:pPr>
        <w:numPr>
          <w:ilvl w:val="0"/>
          <w:numId w:val="14"/>
        </w:numPr>
        <w:spacing w:line="240" w:lineRule="exact"/>
        <w:jc w:val="both"/>
        <w:rPr>
          <w:rFonts w:cs="Arial"/>
          <w:szCs w:val="20"/>
          <w:lang w:val="sl-SI"/>
        </w:rPr>
      </w:pPr>
      <w:r w:rsidRPr="006D1761">
        <w:rPr>
          <w:rFonts w:cs="Arial"/>
          <w:szCs w:val="20"/>
          <w:lang w:val="sl-SI"/>
        </w:rPr>
        <w:t>subjekti, ki niso zavezanci po tem zakonu, ne glede na to, ali spadajo na področje uporabe tega zakona, lahko prostovoljno priglasijo pomembne incidente, kibernetske grožnje in skorajšnje incidente skupini CSIRT SI-CERT.</w:t>
      </w:r>
    </w:p>
    <w:p w14:paraId="0E53C17F" w14:textId="77777777" w:rsidR="00B249C1" w:rsidRPr="006D1761" w:rsidRDefault="00B249C1" w:rsidP="00B249C1">
      <w:pPr>
        <w:spacing w:line="240" w:lineRule="exact"/>
        <w:jc w:val="both"/>
        <w:rPr>
          <w:rFonts w:cs="Arial"/>
          <w:szCs w:val="20"/>
          <w:lang w:val="sl-SI"/>
        </w:rPr>
      </w:pPr>
    </w:p>
    <w:p w14:paraId="3E32E294" w14:textId="77777777" w:rsidR="00B249C1" w:rsidRPr="006D1761" w:rsidRDefault="00B249C1" w:rsidP="00B249C1">
      <w:pPr>
        <w:spacing w:line="240" w:lineRule="exact"/>
        <w:jc w:val="both"/>
        <w:rPr>
          <w:rFonts w:cs="Arial"/>
          <w:b/>
          <w:szCs w:val="20"/>
          <w:lang w:val="sl-SI"/>
        </w:rPr>
      </w:pPr>
      <w:r w:rsidRPr="006D1761">
        <w:rPr>
          <w:rFonts w:cs="Arial"/>
          <w:b/>
          <w:szCs w:val="20"/>
          <w:lang w:val="sl-SI"/>
        </w:rPr>
        <w:t>VII. Vrednotenje incidenta, stanje povečane ogroženosti in kibernetska obramba</w:t>
      </w:r>
    </w:p>
    <w:p w14:paraId="412B1F82" w14:textId="77777777" w:rsidR="00B249C1" w:rsidRPr="006D1761" w:rsidRDefault="00B249C1" w:rsidP="00B249C1">
      <w:pPr>
        <w:spacing w:line="240" w:lineRule="exact"/>
        <w:jc w:val="both"/>
        <w:rPr>
          <w:rFonts w:cs="Arial"/>
          <w:b/>
          <w:szCs w:val="20"/>
          <w:lang w:val="sl-SI"/>
        </w:rPr>
      </w:pPr>
    </w:p>
    <w:p w14:paraId="2E648C9A" w14:textId="77777777" w:rsidR="00B249C1" w:rsidRPr="006D1761" w:rsidRDefault="00B249C1" w:rsidP="003B2726">
      <w:pPr>
        <w:numPr>
          <w:ilvl w:val="0"/>
          <w:numId w:val="14"/>
        </w:numPr>
        <w:spacing w:line="240" w:lineRule="exact"/>
        <w:jc w:val="both"/>
        <w:rPr>
          <w:rFonts w:cs="Arial"/>
          <w:szCs w:val="20"/>
          <w:lang w:val="sl-SI"/>
        </w:rPr>
      </w:pPr>
      <w:r w:rsidRPr="006D1761">
        <w:rPr>
          <w:rFonts w:cs="Arial"/>
          <w:szCs w:val="20"/>
          <w:lang w:val="sl-SI"/>
        </w:rPr>
        <w:t>priglašene incidente ob njihovem reševanju vrednoti pristojna skupina CSIRT</w:t>
      </w:r>
      <w:r w:rsidRPr="006D1761" w:rsidDel="00C778F8">
        <w:rPr>
          <w:rFonts w:cs="Arial"/>
          <w:szCs w:val="20"/>
          <w:lang w:val="sl-SI"/>
        </w:rPr>
        <w:t xml:space="preserve"> </w:t>
      </w:r>
      <w:r w:rsidRPr="006D1761">
        <w:rPr>
          <w:rFonts w:cs="Arial"/>
          <w:szCs w:val="20"/>
          <w:lang w:val="sl-SI"/>
        </w:rPr>
        <w:t xml:space="preserve">V kolikor pristojni nacionalni organ ugotovi, da ocena ne odraža realnega stanja ali so bila ugotovljena nova dejstva, lahko incident prevrednoti. Varnostne dogodke in incidente se vrednoti v stopnje s poimenovanjem: </w:t>
      </w:r>
    </w:p>
    <w:p w14:paraId="6272C9A2" w14:textId="77777777" w:rsidR="00B249C1" w:rsidRPr="006D1761" w:rsidRDefault="00B249C1" w:rsidP="003B2726">
      <w:pPr>
        <w:numPr>
          <w:ilvl w:val="0"/>
          <w:numId w:val="14"/>
        </w:numPr>
        <w:spacing w:line="240" w:lineRule="exact"/>
        <w:jc w:val="both"/>
        <w:rPr>
          <w:rFonts w:cs="Arial"/>
          <w:szCs w:val="20"/>
          <w:lang w:val="sl-SI"/>
        </w:rPr>
      </w:pPr>
      <w:r w:rsidRPr="006D1761">
        <w:rPr>
          <w:rFonts w:cs="Arial"/>
          <w:szCs w:val="20"/>
          <w:lang w:val="sl-SI"/>
        </w:rPr>
        <w:t>pristojni nacionalni organ na podlagi podatkov in informacij, ki se nanašajo na varnost omrežij in informacijskih sistemov, s katerimi razpolaga ali jih pridobi, izdela oceno ogroženosti kibernetske varnosti v Republiki Sloveniji;</w:t>
      </w:r>
    </w:p>
    <w:p w14:paraId="68AE35F3" w14:textId="77777777" w:rsidR="00B249C1" w:rsidRPr="006D1761" w:rsidRDefault="00B249C1" w:rsidP="003B2726">
      <w:pPr>
        <w:numPr>
          <w:ilvl w:val="0"/>
          <w:numId w:val="14"/>
        </w:numPr>
        <w:spacing w:line="240" w:lineRule="exact"/>
        <w:jc w:val="both"/>
        <w:rPr>
          <w:rFonts w:cs="Arial"/>
          <w:szCs w:val="20"/>
          <w:lang w:val="sl-SI"/>
        </w:rPr>
      </w:pPr>
      <w:r w:rsidRPr="006D1761">
        <w:rPr>
          <w:rFonts w:cs="Arial"/>
          <w:szCs w:val="20"/>
          <w:lang w:val="sl-SI"/>
        </w:rPr>
        <w:t>pristojni nacionalni organ v primerih, da je ocena ogroženosti ovrednotena kot kritična o tem nemudoma obvesti vlado in SNAV, lahko pa ju, glede na presojo relevantnih okoliščin in informacij, obvesti tudi v primeru, da je ogroženost ovrednotena kot visoka;</w:t>
      </w:r>
    </w:p>
    <w:p w14:paraId="7E588CE8" w14:textId="77777777" w:rsidR="00B249C1" w:rsidRPr="006D1761" w:rsidRDefault="00B249C1" w:rsidP="003B2726">
      <w:pPr>
        <w:numPr>
          <w:ilvl w:val="0"/>
          <w:numId w:val="14"/>
        </w:numPr>
        <w:spacing w:line="240" w:lineRule="exact"/>
        <w:jc w:val="both"/>
        <w:rPr>
          <w:rFonts w:cs="Arial"/>
          <w:szCs w:val="20"/>
          <w:lang w:val="sl-SI"/>
        </w:rPr>
      </w:pPr>
      <w:r w:rsidRPr="006D1761">
        <w:rPr>
          <w:rFonts w:cs="Arial"/>
          <w:szCs w:val="20"/>
          <w:lang w:val="sl-SI"/>
        </w:rPr>
        <w:t>pristojni nacionalni organ zavezancu s pisno odločbo, v nujnih primerih pa tudi ustno, določi primerne in sorazmerne ukrepe, kot je potrebno za zmanjšanje ogroženosti;</w:t>
      </w:r>
    </w:p>
    <w:p w14:paraId="2622941F" w14:textId="77777777" w:rsidR="00B249C1" w:rsidRPr="006D1761" w:rsidRDefault="00B249C1" w:rsidP="003B2726">
      <w:pPr>
        <w:numPr>
          <w:ilvl w:val="0"/>
          <w:numId w:val="14"/>
        </w:numPr>
        <w:spacing w:line="240" w:lineRule="exact"/>
        <w:jc w:val="both"/>
        <w:rPr>
          <w:rFonts w:cs="Arial"/>
          <w:szCs w:val="20"/>
          <w:lang w:val="sl-SI"/>
        </w:rPr>
      </w:pPr>
      <w:r w:rsidRPr="006D1761">
        <w:rPr>
          <w:rFonts w:cs="Arial"/>
          <w:szCs w:val="20"/>
          <w:lang w:val="sl-SI"/>
        </w:rPr>
        <w:t>direktor pristojnega nacionalnega organa lahko z namenom nižanja ocene ogroženosti visoka ali kritična ter posledično zaradi preprečitve nastanka krize ali njenega obvladovanja izda odredbo, s katero odredi izvedbo nujnih ukrepov pri zavezancih, varnostno operativnih centrih oziroma skupinah CSIRT.</w:t>
      </w:r>
    </w:p>
    <w:p w14:paraId="17993C36" w14:textId="77777777" w:rsidR="00B249C1" w:rsidRPr="006D1761" w:rsidRDefault="00B249C1" w:rsidP="00B249C1">
      <w:pPr>
        <w:spacing w:line="240" w:lineRule="exact"/>
        <w:jc w:val="both"/>
        <w:rPr>
          <w:rFonts w:cs="Arial"/>
          <w:b/>
          <w:szCs w:val="20"/>
          <w:lang w:val="sl-SI"/>
        </w:rPr>
      </w:pPr>
    </w:p>
    <w:p w14:paraId="6CA79A03" w14:textId="77777777" w:rsidR="00B249C1" w:rsidRPr="006D1761" w:rsidRDefault="00B249C1" w:rsidP="00B249C1">
      <w:pPr>
        <w:spacing w:line="240" w:lineRule="exact"/>
        <w:jc w:val="both"/>
        <w:rPr>
          <w:rFonts w:cs="Arial"/>
          <w:b/>
          <w:szCs w:val="20"/>
          <w:lang w:val="sl-SI"/>
        </w:rPr>
      </w:pPr>
      <w:r w:rsidRPr="006D1761">
        <w:rPr>
          <w:rFonts w:cs="Arial"/>
          <w:b/>
          <w:szCs w:val="20"/>
          <w:lang w:val="sl-SI"/>
        </w:rPr>
        <w:t>VIII. Kibernetska obramba</w:t>
      </w:r>
    </w:p>
    <w:p w14:paraId="74CC6058" w14:textId="77777777" w:rsidR="00B249C1" w:rsidRPr="006D1761" w:rsidRDefault="00B249C1" w:rsidP="00B249C1">
      <w:pPr>
        <w:spacing w:line="240" w:lineRule="exact"/>
        <w:jc w:val="both"/>
        <w:rPr>
          <w:rFonts w:cs="Arial"/>
          <w:b/>
          <w:szCs w:val="20"/>
          <w:lang w:val="sl-SI"/>
        </w:rPr>
      </w:pPr>
    </w:p>
    <w:p w14:paraId="5F990887" w14:textId="77777777" w:rsidR="00B249C1" w:rsidRPr="006D1761" w:rsidRDefault="00B249C1" w:rsidP="003B2726">
      <w:pPr>
        <w:numPr>
          <w:ilvl w:val="0"/>
          <w:numId w:val="14"/>
        </w:numPr>
        <w:spacing w:line="240" w:lineRule="exact"/>
        <w:jc w:val="both"/>
        <w:rPr>
          <w:rFonts w:cs="Arial"/>
          <w:szCs w:val="20"/>
          <w:lang w:val="sl-SI"/>
        </w:rPr>
      </w:pPr>
      <w:r w:rsidRPr="006D1761">
        <w:rPr>
          <w:rFonts w:cs="Arial"/>
          <w:szCs w:val="20"/>
          <w:lang w:val="sl-SI"/>
        </w:rPr>
        <w:t>kibernetska obramba vključuje vse plasti kibernetskega prostora, in sicer družbeno, logično-tehnično in fizično;</w:t>
      </w:r>
    </w:p>
    <w:p w14:paraId="0CE906ED" w14:textId="77777777" w:rsidR="00B249C1" w:rsidRPr="006D1761" w:rsidRDefault="00B249C1" w:rsidP="003B2726">
      <w:pPr>
        <w:numPr>
          <w:ilvl w:val="0"/>
          <w:numId w:val="14"/>
        </w:numPr>
        <w:spacing w:line="240" w:lineRule="exact"/>
        <w:jc w:val="both"/>
        <w:rPr>
          <w:rFonts w:cs="Arial"/>
          <w:szCs w:val="20"/>
          <w:lang w:val="sl-SI"/>
        </w:rPr>
      </w:pPr>
      <w:r w:rsidRPr="006D1761">
        <w:rPr>
          <w:rFonts w:cs="Arial"/>
          <w:szCs w:val="20"/>
          <w:lang w:val="sl-SI"/>
        </w:rPr>
        <w:t>ukrepe in dejavnosti kibernetske obrambe na ravni državnih organov usklajujejo in izvajajo pristojni nacionalni organ, skupine CSIRT ter ministrstvo, pristojno za obrambo, ministrstvo, pristojno za upravljanje informacijsko-komunikacijskih sistemov, ministrstvo, pristojno za zunanje zadeve, ministrstvo, pristojno za notranje zadeve, policija, Slovenska obveščevalno-varnostna agencija (v nadaljnjem besedilu: SOVA) in drugi nacionalni organi v skladu s svojimi pristojnostmi pri zagotavljanju nacionalne varnost;</w:t>
      </w:r>
    </w:p>
    <w:p w14:paraId="62BB6A71" w14:textId="77777777" w:rsidR="00B249C1" w:rsidRPr="006D1761" w:rsidRDefault="00B249C1" w:rsidP="003B2726">
      <w:pPr>
        <w:numPr>
          <w:ilvl w:val="0"/>
          <w:numId w:val="14"/>
        </w:numPr>
        <w:spacing w:line="240" w:lineRule="exact"/>
        <w:jc w:val="both"/>
        <w:rPr>
          <w:rFonts w:cs="Arial"/>
          <w:szCs w:val="20"/>
          <w:lang w:val="sl-SI"/>
        </w:rPr>
      </w:pPr>
      <w:r w:rsidRPr="006D1761">
        <w:rPr>
          <w:rFonts w:cs="Arial"/>
          <w:szCs w:val="20"/>
          <w:lang w:val="sl-SI"/>
        </w:rPr>
        <w:lastRenderedPageBreak/>
        <w:t>predlog zakona določa sodelovanje na področju kibernetske obrambe vključno s prostovoljnim sodelovanjem državljanov;</w:t>
      </w:r>
    </w:p>
    <w:p w14:paraId="4AEF61AB" w14:textId="77777777" w:rsidR="00B249C1" w:rsidRPr="006D1761" w:rsidRDefault="00B249C1" w:rsidP="003B2726">
      <w:pPr>
        <w:numPr>
          <w:ilvl w:val="0"/>
          <w:numId w:val="14"/>
        </w:numPr>
        <w:spacing w:line="240" w:lineRule="exact"/>
        <w:jc w:val="both"/>
        <w:rPr>
          <w:rFonts w:cs="Arial"/>
          <w:szCs w:val="20"/>
          <w:lang w:val="sl-SI"/>
        </w:rPr>
      </w:pPr>
      <w:r w:rsidRPr="006D1761">
        <w:rPr>
          <w:rFonts w:cs="Arial"/>
          <w:szCs w:val="20"/>
          <w:lang w:val="sl-SI"/>
        </w:rPr>
        <w:t>zakon vpeljuje možnost in postopke nudenja pomoč na področju kibernetske obrambe Republiki Sloveniji, znotraj Evropske unije in na mednarodni ravni.</w:t>
      </w:r>
    </w:p>
    <w:p w14:paraId="5C82B72F" w14:textId="77777777" w:rsidR="00B249C1" w:rsidRPr="006D1761" w:rsidRDefault="00B249C1" w:rsidP="003B2726">
      <w:pPr>
        <w:numPr>
          <w:ilvl w:val="0"/>
          <w:numId w:val="14"/>
        </w:numPr>
        <w:spacing w:line="240" w:lineRule="exact"/>
        <w:jc w:val="both"/>
        <w:rPr>
          <w:rFonts w:cs="Arial"/>
          <w:szCs w:val="20"/>
          <w:lang w:val="sl-SI"/>
        </w:rPr>
      </w:pPr>
      <w:r w:rsidRPr="006D1761">
        <w:rPr>
          <w:rFonts w:cs="Arial"/>
          <w:szCs w:val="20"/>
          <w:lang w:val="sl-SI"/>
        </w:rPr>
        <w:t xml:space="preserve">kibernetsko obrambo (celota ukrepov in dejavnosti države, s katerimi se odvrača, onemogoča, preprečuje ali odbija kibernetske napade) usklajujejo in izvajajo pristojni nacionalni organ, nacionalni CSIRT in CSIRT organov državne uprave ter ministrstvo, pristojno za obrambo, policija, Slovenska obveščevalno-varnostna agencija (SOVA) in drugi nacionalni organi skladno s svojimi pristojnostmi pri zagotavljanju nacionalne varnosti, ki za ta namen lahko na različnih ravneh izvajajo usklajene organizacijske, logično-tehnične, tehnične in administrativne ukrepe in dejavnosti za zagotavljanje celovite informacijske varnosti. </w:t>
      </w:r>
    </w:p>
    <w:p w14:paraId="1DBA6CA7" w14:textId="77777777" w:rsidR="00B249C1" w:rsidRPr="006D1761" w:rsidRDefault="00B249C1" w:rsidP="00B249C1">
      <w:pPr>
        <w:spacing w:line="240" w:lineRule="exact"/>
        <w:jc w:val="both"/>
        <w:rPr>
          <w:rFonts w:cs="Arial"/>
          <w:szCs w:val="20"/>
          <w:lang w:val="sl-SI"/>
        </w:rPr>
      </w:pPr>
    </w:p>
    <w:p w14:paraId="13E70FB3" w14:textId="77777777" w:rsidR="00B249C1" w:rsidRPr="006D1761" w:rsidRDefault="00B249C1" w:rsidP="00B249C1">
      <w:pPr>
        <w:spacing w:line="240" w:lineRule="exact"/>
        <w:jc w:val="both"/>
        <w:rPr>
          <w:rFonts w:cs="Arial"/>
          <w:b/>
          <w:szCs w:val="20"/>
          <w:lang w:val="sl-SI"/>
        </w:rPr>
      </w:pPr>
      <w:r w:rsidRPr="006D1761">
        <w:rPr>
          <w:rFonts w:cs="Arial"/>
          <w:b/>
          <w:szCs w:val="20"/>
          <w:lang w:val="sl-SI"/>
        </w:rPr>
        <w:t>IX. Nadzor</w:t>
      </w:r>
    </w:p>
    <w:p w14:paraId="2251EF04" w14:textId="77777777" w:rsidR="00B249C1" w:rsidRPr="006D1761" w:rsidRDefault="00B249C1" w:rsidP="00B249C1">
      <w:pPr>
        <w:spacing w:line="240" w:lineRule="exact"/>
        <w:jc w:val="both"/>
        <w:rPr>
          <w:rFonts w:cs="Arial"/>
          <w:b/>
          <w:szCs w:val="20"/>
          <w:lang w:val="sl-SI"/>
        </w:rPr>
      </w:pPr>
    </w:p>
    <w:p w14:paraId="3C4B2DA4" w14:textId="77777777" w:rsidR="00B249C1" w:rsidRPr="006D1761" w:rsidRDefault="00B249C1" w:rsidP="003B2726">
      <w:pPr>
        <w:numPr>
          <w:ilvl w:val="0"/>
          <w:numId w:val="14"/>
        </w:numPr>
        <w:spacing w:line="240" w:lineRule="exact"/>
        <w:jc w:val="both"/>
        <w:rPr>
          <w:rFonts w:cs="Arial"/>
          <w:szCs w:val="20"/>
          <w:lang w:val="sl-SI"/>
        </w:rPr>
      </w:pPr>
      <w:r w:rsidRPr="006D1761">
        <w:rPr>
          <w:rFonts w:cs="Arial"/>
          <w:szCs w:val="20"/>
          <w:lang w:val="sl-SI"/>
        </w:rPr>
        <w:t xml:space="preserve">predlog zakona predvideva, da bodo nadzor nad izvajanjem njegovih določb, na njegovi podlagi sprejetih predpisov in nad izvajanjem upravnih odločb, izdanih na njegovi podlagi,  opravljali inšpektorji za informacijsko varnost v okviru pristojnega nacionalnega organa; </w:t>
      </w:r>
    </w:p>
    <w:p w14:paraId="2B22C778" w14:textId="77777777" w:rsidR="00B249C1" w:rsidRPr="006D1761" w:rsidRDefault="00B249C1" w:rsidP="003B2726">
      <w:pPr>
        <w:numPr>
          <w:ilvl w:val="0"/>
          <w:numId w:val="14"/>
        </w:numPr>
        <w:spacing w:line="240" w:lineRule="exact"/>
        <w:jc w:val="both"/>
        <w:rPr>
          <w:rFonts w:cs="Arial"/>
          <w:szCs w:val="20"/>
          <w:lang w:val="sl-SI"/>
        </w:rPr>
      </w:pPr>
      <w:r w:rsidRPr="006D1761">
        <w:rPr>
          <w:rFonts w:cs="Arial"/>
          <w:szCs w:val="20"/>
          <w:lang w:val="sl-SI"/>
        </w:rPr>
        <w:t>inšpektor lahko poleg ukrepov, ki jih ima po zakonu, ki ureja inšpekcijski nadzor, odredi še ukrepe, določene s tem zakonom, pri čemer mora inšpektor, če gre hkrati za kršitev varstva osebnih podatkov ali če sumi, da gre za to, obveščati in sodelovati z Informacijskim pooblaščencem;</w:t>
      </w:r>
    </w:p>
    <w:p w14:paraId="704B06BB" w14:textId="77777777" w:rsidR="00B249C1" w:rsidRPr="006D1761" w:rsidRDefault="00B249C1" w:rsidP="003B2726">
      <w:pPr>
        <w:numPr>
          <w:ilvl w:val="0"/>
          <w:numId w:val="14"/>
        </w:numPr>
        <w:spacing w:line="240" w:lineRule="exact"/>
        <w:jc w:val="both"/>
        <w:rPr>
          <w:rFonts w:cs="Arial"/>
          <w:szCs w:val="20"/>
          <w:lang w:val="sl-SI"/>
        </w:rPr>
      </w:pPr>
      <w:r w:rsidRPr="006D1761">
        <w:rPr>
          <w:rFonts w:cs="Arial"/>
          <w:szCs w:val="20"/>
          <w:lang w:val="sl-SI"/>
        </w:rPr>
        <w:t>ne glede na določbe zakona, ki ureja inšpekcijski nadzor, lahko inšpektor zavezancem le v skrajnem primeru in upoštevaje področni pomen sistema ter njihovo dejavnost prepove uporabo tega sistema ali njegovega dela, dokler ni ugotovljena pomanjkljivost odpravljena in če s tem ukrepom ni ogrožena zanesljivost oskrbe v posameznem sistemu;</w:t>
      </w:r>
    </w:p>
    <w:p w14:paraId="094E205C" w14:textId="0F7EED18" w:rsidR="00B249C1" w:rsidRPr="006D1761" w:rsidRDefault="00B249C1" w:rsidP="003B2726">
      <w:pPr>
        <w:numPr>
          <w:ilvl w:val="0"/>
          <w:numId w:val="14"/>
        </w:numPr>
        <w:spacing w:line="240" w:lineRule="exact"/>
        <w:jc w:val="both"/>
        <w:rPr>
          <w:rFonts w:cs="Arial"/>
          <w:szCs w:val="20"/>
          <w:lang w:val="sl-SI"/>
        </w:rPr>
      </w:pPr>
      <w:r w:rsidRPr="006D1761">
        <w:rPr>
          <w:rFonts w:cs="Arial"/>
          <w:szCs w:val="20"/>
          <w:lang w:val="sl-SI"/>
        </w:rPr>
        <w:t xml:space="preserve">upravni inšpekcijski nadzor nad bistvenimi in pomembnimi subjekti je urejen ločeno (oboje skladno s posebnimi zahtevami iz Direktive </w:t>
      </w:r>
      <w:r w:rsidR="00EC12B7">
        <w:rPr>
          <w:rFonts w:cs="Arial"/>
          <w:szCs w:val="20"/>
          <w:lang w:val="sl-SI"/>
        </w:rPr>
        <w:t>(EU) 2022/2555</w:t>
      </w:r>
      <w:r w:rsidRPr="006D1761">
        <w:rPr>
          <w:rFonts w:cs="Arial"/>
          <w:szCs w:val="20"/>
          <w:lang w:val="sl-SI"/>
        </w:rPr>
        <w:t xml:space="preserve">). </w:t>
      </w:r>
    </w:p>
    <w:p w14:paraId="153C169B" w14:textId="77777777" w:rsidR="00B249C1" w:rsidRPr="006D1761" w:rsidRDefault="00B249C1" w:rsidP="00B249C1">
      <w:pPr>
        <w:spacing w:line="240" w:lineRule="exact"/>
        <w:jc w:val="both"/>
        <w:rPr>
          <w:rFonts w:cs="Arial"/>
          <w:szCs w:val="20"/>
          <w:lang w:val="sl-SI"/>
        </w:rPr>
      </w:pPr>
    </w:p>
    <w:p w14:paraId="3D3C0017" w14:textId="77777777" w:rsidR="00B249C1" w:rsidRPr="006D1761" w:rsidRDefault="00B249C1" w:rsidP="00B249C1">
      <w:pPr>
        <w:spacing w:line="240" w:lineRule="exact"/>
        <w:jc w:val="both"/>
        <w:rPr>
          <w:rFonts w:cs="Arial"/>
          <w:b/>
          <w:szCs w:val="20"/>
          <w:lang w:val="sl-SI"/>
        </w:rPr>
      </w:pPr>
      <w:r w:rsidRPr="006D1761">
        <w:rPr>
          <w:rFonts w:cs="Arial"/>
          <w:b/>
          <w:szCs w:val="20"/>
          <w:lang w:val="sl-SI"/>
        </w:rPr>
        <w:t xml:space="preserve">X. Kazenske določbe </w:t>
      </w:r>
    </w:p>
    <w:p w14:paraId="41DC4CA5" w14:textId="77777777" w:rsidR="00B249C1" w:rsidRPr="006D1761" w:rsidRDefault="00B249C1" w:rsidP="00B249C1">
      <w:pPr>
        <w:spacing w:line="240" w:lineRule="exact"/>
        <w:jc w:val="both"/>
        <w:rPr>
          <w:rFonts w:cs="Arial"/>
          <w:b/>
          <w:szCs w:val="20"/>
          <w:lang w:val="sl-SI"/>
        </w:rPr>
      </w:pPr>
    </w:p>
    <w:p w14:paraId="3B752B10" w14:textId="77777777" w:rsidR="00B249C1" w:rsidRPr="006D1761" w:rsidRDefault="00B249C1" w:rsidP="003B2726">
      <w:pPr>
        <w:numPr>
          <w:ilvl w:val="0"/>
          <w:numId w:val="14"/>
        </w:numPr>
        <w:spacing w:line="240" w:lineRule="exact"/>
        <w:jc w:val="both"/>
        <w:rPr>
          <w:rFonts w:cs="Arial"/>
          <w:bCs/>
          <w:szCs w:val="20"/>
          <w:lang w:val="sl-SI"/>
        </w:rPr>
      </w:pPr>
      <w:r w:rsidRPr="006D1761">
        <w:rPr>
          <w:rFonts w:cs="Arial"/>
          <w:szCs w:val="20"/>
          <w:lang w:val="sl-SI"/>
        </w:rPr>
        <w:t>predlog zakona omogoča, da se za v njem določene prekrške v hitrem postopku izrekajo globe tudi v znesku, ki je višji od najnižje predpisane globe, določene s tem zakonom;</w:t>
      </w:r>
    </w:p>
    <w:p w14:paraId="1901C57A" w14:textId="6C83D1E9" w:rsidR="00B249C1" w:rsidRPr="006D1761" w:rsidRDefault="00B249C1" w:rsidP="003B2726">
      <w:pPr>
        <w:numPr>
          <w:ilvl w:val="0"/>
          <w:numId w:val="14"/>
        </w:numPr>
        <w:spacing w:line="240" w:lineRule="exact"/>
        <w:jc w:val="both"/>
        <w:rPr>
          <w:rFonts w:cs="Arial"/>
          <w:szCs w:val="20"/>
          <w:lang w:val="sl-SI"/>
        </w:rPr>
      </w:pPr>
      <w:r w:rsidRPr="006D1761">
        <w:rPr>
          <w:rFonts w:cs="Arial"/>
          <w:szCs w:val="20"/>
          <w:lang w:val="sl-SI"/>
        </w:rPr>
        <w:t>predpisane globe so v primerih, ko bistveni ali pomembni subjekt ne izpolnjuje obveznosti iz tega zakona, določene v višini, ki je učinkovita, sorazmerna in odvračalna (skladno z zahtevo iz Direktive (EU) 2022/2555);</w:t>
      </w:r>
    </w:p>
    <w:p w14:paraId="7401A9CA" w14:textId="77777777" w:rsidR="00B249C1" w:rsidRPr="006D1761" w:rsidRDefault="00B249C1" w:rsidP="003B2726">
      <w:pPr>
        <w:numPr>
          <w:ilvl w:val="0"/>
          <w:numId w:val="14"/>
        </w:numPr>
        <w:spacing w:line="240" w:lineRule="exact"/>
        <w:jc w:val="both"/>
        <w:rPr>
          <w:rFonts w:cs="Arial"/>
          <w:szCs w:val="20"/>
          <w:lang w:val="sl-SI"/>
        </w:rPr>
      </w:pPr>
      <w:r w:rsidRPr="006D1761">
        <w:rPr>
          <w:rFonts w:cs="Arial"/>
          <w:szCs w:val="20"/>
          <w:lang w:val="sl-SI"/>
        </w:rPr>
        <w:t>predlog zakona ločeno ureja prekrške v primerih, ko obveznosti tega zakona ne izpolnjujejo bistveni ali pomembni subjekti. Ločeno je tudi urejanje prekrškov upravljavca centralnega informacijsko-komunikacijskega sistema.</w:t>
      </w:r>
    </w:p>
    <w:p w14:paraId="7EDBADBB" w14:textId="77777777" w:rsidR="00B249C1" w:rsidRPr="00E1666F" w:rsidRDefault="00B249C1" w:rsidP="00B249C1">
      <w:pPr>
        <w:spacing w:line="240" w:lineRule="exact"/>
        <w:jc w:val="both"/>
        <w:rPr>
          <w:rFonts w:cs="Arial"/>
          <w:szCs w:val="20"/>
          <w:lang w:val="sl-SI"/>
        </w:rPr>
      </w:pPr>
    </w:p>
    <w:p w14:paraId="4CA4C8CF" w14:textId="77777777" w:rsidR="00B249C1" w:rsidRPr="00E1666F" w:rsidRDefault="00B249C1" w:rsidP="00B249C1">
      <w:pPr>
        <w:spacing w:line="240" w:lineRule="exact"/>
        <w:jc w:val="both"/>
        <w:rPr>
          <w:rFonts w:cs="Arial"/>
          <w:b/>
          <w:bCs/>
          <w:szCs w:val="20"/>
          <w:lang w:val="sl-SI"/>
        </w:rPr>
      </w:pPr>
      <w:r w:rsidRPr="00E1666F">
        <w:rPr>
          <w:rFonts w:cs="Arial"/>
          <w:b/>
          <w:bCs/>
          <w:szCs w:val="20"/>
          <w:lang w:val="sl-SI"/>
        </w:rPr>
        <w:t>XI. Prehodne določbe</w:t>
      </w:r>
    </w:p>
    <w:p w14:paraId="68B87A00" w14:textId="77777777" w:rsidR="00B249C1" w:rsidRPr="00E1666F" w:rsidRDefault="00B249C1" w:rsidP="00B249C1">
      <w:pPr>
        <w:spacing w:line="240" w:lineRule="exact"/>
        <w:jc w:val="both"/>
        <w:rPr>
          <w:rFonts w:cs="Arial"/>
          <w:szCs w:val="20"/>
          <w:lang w:val="sl-SI"/>
        </w:rPr>
      </w:pPr>
    </w:p>
    <w:p w14:paraId="7BD8F3E6" w14:textId="54C0AED2" w:rsidR="007C619B" w:rsidRPr="00E1666F" w:rsidRDefault="007C619B" w:rsidP="00415FF6">
      <w:pPr>
        <w:pStyle w:val="Odstavekseznama"/>
        <w:numPr>
          <w:ilvl w:val="0"/>
          <w:numId w:val="14"/>
        </w:numPr>
        <w:spacing w:line="240" w:lineRule="exact"/>
        <w:jc w:val="both"/>
        <w:rPr>
          <w:rFonts w:cs="Arial"/>
          <w:szCs w:val="20"/>
          <w:lang w:val="sl-SI"/>
        </w:rPr>
      </w:pPr>
      <w:r w:rsidRPr="00E1666F">
        <w:rPr>
          <w:rFonts w:cs="Arial"/>
          <w:szCs w:val="20"/>
          <w:lang w:val="sl-SI"/>
        </w:rPr>
        <w:t>zakon določa roke za izdajo podzakonskih aktov vzpostavitev samoregistracijskega mehanizma in namenskih platform;</w:t>
      </w:r>
    </w:p>
    <w:p w14:paraId="082D32D0" w14:textId="0FB22B0D" w:rsidR="00B249C1" w:rsidRPr="00E1666F" w:rsidRDefault="007C619B" w:rsidP="00E1666F">
      <w:pPr>
        <w:pStyle w:val="Odstavekseznama"/>
        <w:numPr>
          <w:ilvl w:val="0"/>
          <w:numId w:val="14"/>
        </w:numPr>
        <w:spacing w:line="240" w:lineRule="exact"/>
        <w:jc w:val="both"/>
        <w:rPr>
          <w:lang w:val="sl-SI"/>
        </w:rPr>
      </w:pPr>
      <w:r w:rsidRPr="00E1666F">
        <w:rPr>
          <w:rFonts w:cs="Arial"/>
          <w:szCs w:val="20"/>
          <w:lang w:val="sl-SI"/>
        </w:rPr>
        <w:t>ureja veljavnost zakon in določa roke, do katerih morajo bistveni in povezani subjekti izpolniti obveznosti iz 20. in 21. člena tega zakona</w:t>
      </w:r>
      <w:r w:rsidR="00E1666F">
        <w:rPr>
          <w:rFonts w:cs="Arial"/>
          <w:szCs w:val="20"/>
          <w:lang w:val="sl-SI"/>
        </w:rPr>
        <w:t>.</w:t>
      </w:r>
    </w:p>
    <w:p w14:paraId="4902FCC0" w14:textId="77777777" w:rsidR="00B249C1" w:rsidRPr="006D1761" w:rsidRDefault="00B249C1" w:rsidP="00B249C1">
      <w:pPr>
        <w:spacing w:line="240" w:lineRule="exact"/>
        <w:jc w:val="both"/>
        <w:rPr>
          <w:rFonts w:cs="Arial"/>
          <w:szCs w:val="20"/>
          <w:highlight w:val="yellow"/>
          <w:lang w:val="sl-SI"/>
        </w:rPr>
      </w:pPr>
    </w:p>
    <w:p w14:paraId="12A72B84" w14:textId="77777777" w:rsidR="00B249C1" w:rsidRPr="006D1761" w:rsidRDefault="00B249C1" w:rsidP="00B249C1">
      <w:pPr>
        <w:spacing w:line="240" w:lineRule="exact"/>
        <w:jc w:val="both"/>
        <w:rPr>
          <w:rFonts w:cs="Arial"/>
          <w:b/>
          <w:szCs w:val="20"/>
          <w:lang w:val="sl-SI"/>
        </w:rPr>
      </w:pPr>
      <w:r w:rsidRPr="006D1761">
        <w:rPr>
          <w:rFonts w:cs="Arial"/>
          <w:b/>
          <w:szCs w:val="20"/>
          <w:lang w:val="sl-SI"/>
        </w:rPr>
        <w:t>XII. Končna določba</w:t>
      </w:r>
    </w:p>
    <w:p w14:paraId="323D31A8" w14:textId="77777777" w:rsidR="00B249C1" w:rsidRPr="006D1761" w:rsidRDefault="00B249C1" w:rsidP="00B249C1">
      <w:pPr>
        <w:spacing w:line="240" w:lineRule="exact"/>
        <w:jc w:val="both"/>
        <w:rPr>
          <w:rFonts w:cs="Arial"/>
          <w:b/>
          <w:szCs w:val="20"/>
          <w:lang w:val="sl-SI"/>
        </w:rPr>
      </w:pPr>
    </w:p>
    <w:p w14:paraId="70A6D78A" w14:textId="77777777" w:rsidR="00B249C1" w:rsidRPr="006D1761" w:rsidRDefault="00B249C1" w:rsidP="003B2726">
      <w:pPr>
        <w:numPr>
          <w:ilvl w:val="0"/>
          <w:numId w:val="14"/>
        </w:numPr>
        <w:spacing w:line="240" w:lineRule="exact"/>
        <w:jc w:val="both"/>
        <w:rPr>
          <w:rFonts w:cs="Arial"/>
          <w:szCs w:val="20"/>
          <w:lang w:val="sl-SI"/>
        </w:rPr>
      </w:pPr>
      <w:r w:rsidRPr="006D1761">
        <w:rPr>
          <w:rFonts w:cs="Arial"/>
          <w:szCs w:val="20"/>
          <w:lang w:val="sl-SI"/>
        </w:rPr>
        <w:t>določa začetek veljavnosti zakona − petnajsti dan po objavi v Uradnem listu RS.</w:t>
      </w:r>
    </w:p>
    <w:p w14:paraId="6227EE0C" w14:textId="77777777" w:rsidR="00E1666F" w:rsidRDefault="00E1666F" w:rsidP="00B249C1">
      <w:pPr>
        <w:spacing w:line="300" w:lineRule="atLeast"/>
        <w:jc w:val="both"/>
        <w:rPr>
          <w:rFonts w:cs="Arial"/>
          <w:szCs w:val="20"/>
          <w:lang w:val="sl-SI" w:eastAsia="sl-SI"/>
        </w:rPr>
      </w:pPr>
    </w:p>
    <w:p w14:paraId="218EE2E1" w14:textId="018EE65B" w:rsidR="00B249C1" w:rsidRPr="006D1761" w:rsidRDefault="00B249C1" w:rsidP="00B249C1">
      <w:pPr>
        <w:spacing w:line="300" w:lineRule="atLeast"/>
        <w:jc w:val="both"/>
        <w:rPr>
          <w:rFonts w:cs="Arial"/>
          <w:szCs w:val="20"/>
          <w:lang w:val="sl-SI" w:eastAsia="sl-SI"/>
        </w:rPr>
      </w:pPr>
      <w:r w:rsidRPr="006D1761">
        <w:rPr>
          <w:rFonts w:cs="Arial"/>
          <w:szCs w:val="20"/>
          <w:lang w:val="sl-SI" w:eastAsia="sl-SI"/>
        </w:rPr>
        <w:t xml:space="preserve">Skladno z zgoraj zapisanim se s predlogom zakona v pravni red prenaša Direktiva (EU) 2022/2555, </w:t>
      </w:r>
      <w:r w:rsidRPr="006D1761">
        <w:rPr>
          <w:rFonts w:cs="Arial"/>
          <w:szCs w:val="20"/>
          <w:lang w:val="sl-SI"/>
        </w:rPr>
        <w:t xml:space="preserve">katere cilj in namen je sistemska ureditev področja informacijske oziroma kibernetske varnosti in zagotovitev visoke ravni kibernetske varnosti v Republiki Sloveniji na področjih, ki so bistvenega pomena za nemoteno delovanje države ter ohranitev zagotavljanja ključnih družbenih </w:t>
      </w:r>
      <w:r w:rsidRPr="006D1761">
        <w:rPr>
          <w:rFonts w:cs="Arial"/>
          <w:szCs w:val="20"/>
          <w:lang w:val="sl-SI"/>
        </w:rPr>
        <w:lastRenderedPageBreak/>
        <w:t xml:space="preserve">in gospodarskih dejavnosti v vseh varnostnih razmerah. </w:t>
      </w:r>
      <w:r w:rsidRPr="006D1761">
        <w:rPr>
          <w:rFonts w:cs="Arial"/>
          <w:szCs w:val="20"/>
          <w:lang w:val="sl-SI" w:eastAsia="sl-SI"/>
        </w:rPr>
        <w:t>Poleg tega se bo z zakonom sistemsko uredilo in nadgradilo področje kibernetske obrambe tako na strateški kot tudi na operativni ravni nacionalnega sistema zagotavljanja informacijske varnosti</w:t>
      </w:r>
      <w:r w:rsidR="009A59A1" w:rsidRPr="006D1761">
        <w:rPr>
          <w:rFonts w:cs="Arial"/>
          <w:szCs w:val="20"/>
          <w:lang w:val="sl-SI" w:eastAsia="sl-SI"/>
        </w:rPr>
        <w:t>.</w:t>
      </w:r>
    </w:p>
    <w:p w14:paraId="1D6E5343" w14:textId="77777777" w:rsidR="009A59A1" w:rsidRPr="006D1761" w:rsidRDefault="009A59A1" w:rsidP="00B249C1">
      <w:pPr>
        <w:spacing w:line="300" w:lineRule="atLeast"/>
        <w:jc w:val="both"/>
        <w:rPr>
          <w:rFonts w:cs="Arial"/>
          <w:szCs w:val="20"/>
          <w:highlight w:val="yellow"/>
          <w:lang w:val="sl-SI"/>
        </w:rPr>
      </w:pPr>
    </w:p>
    <w:p w14:paraId="58CFBEA6" w14:textId="0A666501" w:rsidR="007115AE" w:rsidRDefault="00B249C1" w:rsidP="00B249C1">
      <w:pPr>
        <w:spacing w:line="300" w:lineRule="atLeast"/>
        <w:jc w:val="both"/>
        <w:rPr>
          <w:rFonts w:cs="Arial"/>
          <w:szCs w:val="20"/>
          <w:highlight w:val="yellow"/>
          <w:lang w:val="sl-SI"/>
        </w:rPr>
      </w:pPr>
      <w:r w:rsidRPr="00E1666F">
        <w:rPr>
          <w:rFonts w:cs="Arial"/>
          <w:szCs w:val="20"/>
          <w:lang w:val="sl-SI"/>
        </w:rPr>
        <w:t xml:space="preserve">Na podlagi predloga zakona </w:t>
      </w:r>
      <w:r w:rsidR="007115AE" w:rsidRPr="007115AE">
        <w:rPr>
          <w:rFonts w:cs="Arial"/>
          <w:szCs w:val="20"/>
          <w:lang w:val="sl-SI"/>
        </w:rPr>
        <w:t xml:space="preserve">pristojni nacionalni organ vzpostavi mehanizem za samoregistracijo zavezancev iz 6. člena tega zakona po prvem odstavku 7. člena tega zakona v roku dveh mesecev od uveljavitve; vzpostavi digitalno platformo za medsebojno izmenjava informacij o relevantnih incidentih, kibernetskih grožnjah in skorajšnjih incidentih iz drugega odstavka 17. člena tega zakona ter namensko digitalno platformo iz desetega odstavka 26. člena v enem letu od uveljavitve tega </w:t>
      </w:r>
      <w:r w:rsidR="007115AE" w:rsidRPr="007C619B">
        <w:rPr>
          <w:rFonts w:cs="Arial"/>
          <w:szCs w:val="20"/>
          <w:lang w:val="sl-SI"/>
        </w:rPr>
        <w:t>zakona.</w:t>
      </w:r>
      <w:r w:rsidR="007115AE" w:rsidRPr="00E1666F">
        <w:rPr>
          <w:lang w:val="sl-SI"/>
        </w:rPr>
        <w:t xml:space="preserve"> </w:t>
      </w:r>
      <w:r w:rsidRPr="00E1666F">
        <w:rPr>
          <w:rFonts w:cs="Arial"/>
          <w:szCs w:val="20"/>
          <w:lang w:val="sl-SI"/>
        </w:rPr>
        <w:t xml:space="preserve">Poleg tega se zaradi </w:t>
      </w:r>
      <w:r w:rsidR="007115AE" w:rsidRPr="00E1666F">
        <w:rPr>
          <w:rFonts w:cs="Arial"/>
          <w:szCs w:val="20"/>
          <w:lang w:val="sl-SI"/>
        </w:rPr>
        <w:t xml:space="preserve">uskladitev z nalogami </w:t>
      </w:r>
      <w:r w:rsidRPr="00E1666F">
        <w:rPr>
          <w:rFonts w:cs="Arial"/>
          <w:szCs w:val="20"/>
          <w:lang w:val="sl-SI"/>
        </w:rPr>
        <w:t xml:space="preserve">pristojnega nacionalnega organa, ki je </w:t>
      </w:r>
      <w:r w:rsidR="007115AE" w:rsidRPr="00E1666F">
        <w:rPr>
          <w:rFonts w:cs="Arial"/>
          <w:szCs w:val="20"/>
          <w:lang w:val="sl-SI"/>
        </w:rPr>
        <w:t xml:space="preserve">samostojna vladna služba, </w:t>
      </w:r>
      <w:r w:rsidR="007115AE" w:rsidRPr="007C619B">
        <w:rPr>
          <w:rFonts w:cs="Arial"/>
          <w:szCs w:val="20"/>
          <w:lang w:val="sl-SI"/>
        </w:rPr>
        <w:t>uskladi</w:t>
      </w:r>
      <w:r w:rsidR="007115AE" w:rsidRPr="007115AE">
        <w:rPr>
          <w:rFonts w:cs="Arial"/>
          <w:szCs w:val="20"/>
          <w:lang w:val="sl-SI"/>
        </w:rPr>
        <w:t xml:space="preserve"> Odlok o ustanovitvi, nalogah in organizaciji Urada Vlade Republike Slovenije za informacijsko varnost (Uradni list RS, št. 114/21 in 69/23) s tem zakonom v treh mesecih od njegove uveljavitve,</w:t>
      </w:r>
    </w:p>
    <w:p w14:paraId="2E4559F0" w14:textId="77777777" w:rsidR="007115AE" w:rsidRDefault="007115AE" w:rsidP="00B249C1">
      <w:pPr>
        <w:spacing w:line="300" w:lineRule="atLeast"/>
        <w:jc w:val="both"/>
        <w:rPr>
          <w:rFonts w:cs="Arial"/>
          <w:szCs w:val="20"/>
          <w:highlight w:val="yellow"/>
          <w:lang w:val="sl-SI"/>
        </w:rPr>
      </w:pPr>
    </w:p>
    <w:p w14:paraId="4B1C13F4" w14:textId="3486848E" w:rsidR="007C619B" w:rsidRPr="007C619B" w:rsidRDefault="007C619B" w:rsidP="00E1666F">
      <w:pPr>
        <w:jc w:val="both"/>
        <w:rPr>
          <w:rFonts w:cs="Arial"/>
          <w:szCs w:val="20"/>
          <w:lang w:val="sl-SI"/>
        </w:rPr>
      </w:pPr>
      <w:r w:rsidRPr="007C619B">
        <w:rPr>
          <w:rFonts w:cs="Arial"/>
          <w:szCs w:val="20"/>
          <w:lang w:val="sl-SI"/>
        </w:rPr>
        <w:t>Z dnem uveljavitve tega zakona preneha veljati Zakon o informacijski varnosti (Uradni list RS, št. 30/18, 95/21, 130/22 – ZEKom-2, 18/23 – ZDU-1O in 49/23).</w:t>
      </w:r>
      <w:r>
        <w:rPr>
          <w:rFonts w:cs="Arial"/>
          <w:szCs w:val="20"/>
          <w:lang w:val="sl-SI"/>
        </w:rPr>
        <w:t xml:space="preserve"> Prav tako prenehajo veljati na njegovi osnovi izdani podzakonski akti, ki pa se smiselno uporabljajo </w:t>
      </w:r>
      <w:r w:rsidRPr="007C619B">
        <w:rPr>
          <w:rFonts w:cs="Arial"/>
          <w:szCs w:val="20"/>
          <w:lang w:val="sl-SI"/>
        </w:rPr>
        <w:t>do izdaje podzakonskih predpisov sprejetih na podlagi tega zakona.</w:t>
      </w:r>
    </w:p>
    <w:p w14:paraId="73E2F95B" w14:textId="77777777" w:rsidR="00B249C1" w:rsidRDefault="00B249C1" w:rsidP="00B249C1">
      <w:pPr>
        <w:spacing w:line="300" w:lineRule="atLeast"/>
        <w:jc w:val="both"/>
        <w:rPr>
          <w:rFonts w:cs="Arial"/>
          <w:szCs w:val="20"/>
          <w:highlight w:val="yellow"/>
          <w:lang w:val="sl-SI"/>
        </w:rPr>
      </w:pPr>
    </w:p>
    <w:p w14:paraId="52AF62B9" w14:textId="77777777" w:rsidR="00B249C1" w:rsidRPr="006D1761" w:rsidRDefault="00B249C1" w:rsidP="003B2726">
      <w:pPr>
        <w:pStyle w:val="OdstavektevilkaZIV"/>
        <w:numPr>
          <w:ilvl w:val="0"/>
          <w:numId w:val="14"/>
        </w:numPr>
        <w:spacing w:after="0" w:line="300" w:lineRule="atLeast"/>
        <w:ind w:left="714" w:hanging="357"/>
        <w:rPr>
          <w:b/>
          <w:bCs/>
        </w:rPr>
      </w:pPr>
      <w:r w:rsidRPr="006D1761">
        <w:rPr>
          <w:b/>
          <w:bCs/>
        </w:rPr>
        <w:t>Normativna usklajenost predloga zakona</w:t>
      </w:r>
    </w:p>
    <w:p w14:paraId="232EB92D" w14:textId="77777777" w:rsidR="009A59A1" w:rsidRPr="006D1761" w:rsidRDefault="009A59A1" w:rsidP="009A59A1">
      <w:pPr>
        <w:pStyle w:val="OdstavektevilkaZIV"/>
        <w:numPr>
          <w:ilvl w:val="0"/>
          <w:numId w:val="0"/>
        </w:numPr>
        <w:spacing w:after="0" w:line="300" w:lineRule="atLeast"/>
        <w:ind w:left="714"/>
        <w:rPr>
          <w:b/>
          <w:bCs/>
        </w:rPr>
      </w:pPr>
    </w:p>
    <w:p w14:paraId="2D6B21CF" w14:textId="17BD83E8" w:rsidR="00B249C1" w:rsidRPr="006D1761" w:rsidRDefault="00B249C1" w:rsidP="00B249C1">
      <w:pPr>
        <w:spacing w:line="300" w:lineRule="atLeast"/>
        <w:jc w:val="both"/>
        <w:rPr>
          <w:rFonts w:cs="Arial"/>
          <w:szCs w:val="20"/>
          <w:lang w:val="sl-SI"/>
        </w:rPr>
      </w:pPr>
      <w:r w:rsidRPr="006D1761">
        <w:rPr>
          <w:rFonts w:cs="Arial"/>
          <w:szCs w:val="20"/>
          <w:lang w:val="sl-SI"/>
        </w:rPr>
        <w:t xml:space="preserve">Predlog zakona je usklajen z veljavno zakonodajo ter s splošno veljavnimi načeli mednarodnega prava in z mednarodnimi pogodbami, ki obvezujejo </w:t>
      </w:r>
      <w:r w:rsidRPr="006D1761">
        <w:rPr>
          <w:rFonts w:cs="Arial"/>
          <w:szCs w:val="20"/>
          <w:lang w:val="sl-SI" w:eastAsia="sl-SI"/>
        </w:rPr>
        <w:t>RS</w:t>
      </w:r>
      <w:r w:rsidRPr="006D1761">
        <w:rPr>
          <w:rFonts w:cs="Arial"/>
          <w:szCs w:val="20"/>
          <w:lang w:val="sl-SI"/>
        </w:rPr>
        <w:t xml:space="preserve">. Predlog zakona prenaša </w:t>
      </w:r>
      <w:r w:rsidRPr="006D1761">
        <w:rPr>
          <w:rFonts w:cs="Arial"/>
          <w:szCs w:val="20"/>
          <w:lang w:val="sl-SI" w:eastAsia="sl-SI"/>
        </w:rPr>
        <w:t xml:space="preserve">Direktivo </w:t>
      </w:r>
      <w:r w:rsidR="007C619B">
        <w:rPr>
          <w:rFonts w:cs="Arial"/>
          <w:szCs w:val="20"/>
          <w:lang w:val="sl-SI" w:eastAsia="sl-SI"/>
        </w:rPr>
        <w:t xml:space="preserve">(EU) </w:t>
      </w:r>
      <w:r w:rsidRPr="006D1761">
        <w:rPr>
          <w:rFonts w:cs="Arial"/>
          <w:szCs w:val="20"/>
          <w:lang w:val="sl-SI" w:eastAsia="sl-SI"/>
        </w:rPr>
        <w:t>2022/2555</w:t>
      </w:r>
      <w:r w:rsidRPr="006D1761">
        <w:rPr>
          <w:rFonts w:cs="Arial"/>
          <w:szCs w:val="20"/>
          <w:lang w:val="sl-SI"/>
        </w:rPr>
        <w:t>.</w:t>
      </w:r>
    </w:p>
    <w:p w14:paraId="3B31F46B" w14:textId="77777777" w:rsidR="00B249C1" w:rsidRPr="006D1761" w:rsidRDefault="00B249C1" w:rsidP="00B249C1">
      <w:pPr>
        <w:spacing w:line="300" w:lineRule="atLeast"/>
        <w:jc w:val="both"/>
        <w:rPr>
          <w:rFonts w:cs="Arial"/>
          <w:szCs w:val="20"/>
          <w:lang w:val="sl-SI"/>
        </w:rPr>
      </w:pPr>
    </w:p>
    <w:p w14:paraId="01FCD5E6" w14:textId="77777777" w:rsidR="00B249C1" w:rsidRPr="006D1761" w:rsidRDefault="00B249C1" w:rsidP="003B2726">
      <w:pPr>
        <w:pStyle w:val="OdstavektevilkaZIV"/>
        <w:numPr>
          <w:ilvl w:val="0"/>
          <w:numId w:val="14"/>
        </w:numPr>
        <w:spacing w:after="0" w:line="300" w:lineRule="atLeast"/>
        <w:ind w:left="714" w:hanging="357"/>
        <w:rPr>
          <w:b/>
          <w:bCs/>
        </w:rPr>
      </w:pPr>
      <w:r w:rsidRPr="006D1761">
        <w:rPr>
          <w:rFonts w:eastAsiaTheme="minorHAnsi"/>
          <w:b/>
          <w:bCs/>
        </w:rPr>
        <w:t>Usklajenost</w:t>
      </w:r>
      <w:r w:rsidRPr="006D1761">
        <w:rPr>
          <w:b/>
          <w:bCs/>
        </w:rPr>
        <w:t xml:space="preserve"> predloga zakona</w:t>
      </w:r>
    </w:p>
    <w:p w14:paraId="2EDADC32" w14:textId="77777777" w:rsidR="009A59A1" w:rsidRPr="006D1761" w:rsidRDefault="009A59A1" w:rsidP="009A59A1">
      <w:pPr>
        <w:pStyle w:val="OdstavektevilkaZIV"/>
        <w:numPr>
          <w:ilvl w:val="0"/>
          <w:numId w:val="0"/>
        </w:numPr>
        <w:spacing w:after="0" w:line="300" w:lineRule="atLeast"/>
        <w:ind w:left="714"/>
        <w:rPr>
          <w:b/>
          <w:bCs/>
        </w:rPr>
      </w:pPr>
    </w:p>
    <w:p w14:paraId="080F4242" w14:textId="1D898421" w:rsidR="0027068B" w:rsidRPr="006D1761" w:rsidRDefault="00B249C1" w:rsidP="00B249C1">
      <w:pPr>
        <w:spacing w:line="300" w:lineRule="atLeast"/>
        <w:jc w:val="both"/>
        <w:rPr>
          <w:rFonts w:cs="Arial"/>
          <w:iCs/>
          <w:szCs w:val="20"/>
          <w:lang w:val="sl-SI" w:eastAsia="sl-SI"/>
        </w:rPr>
      </w:pPr>
      <w:r w:rsidRPr="006D1761">
        <w:rPr>
          <w:rFonts w:cs="Arial"/>
          <w:iCs/>
          <w:szCs w:val="20"/>
          <w:lang w:val="sl-SI" w:eastAsia="sl-SI"/>
        </w:rPr>
        <w:t xml:space="preserve">Delovni osnutek predloga zakona je bil ob koncu leta 2023 posredovana </w:t>
      </w:r>
      <w:r w:rsidR="0027068B" w:rsidRPr="006D1761">
        <w:rPr>
          <w:rFonts w:cs="Arial"/>
          <w:iCs/>
          <w:szCs w:val="20"/>
          <w:lang w:val="sl-SI" w:eastAsia="sl-SI"/>
        </w:rPr>
        <w:t>deležnikom zastopanim v Koordinacijski skupini za kibernetsko varnost.</w:t>
      </w:r>
      <w:r w:rsidR="009A59A1" w:rsidRPr="006D1761">
        <w:rPr>
          <w:rFonts w:cs="Arial"/>
          <w:iCs/>
          <w:szCs w:val="20"/>
          <w:lang w:val="sl-SI" w:eastAsia="sl-SI"/>
        </w:rPr>
        <w:t xml:space="preserve"> Na podlagi pobud so bili opravljeni usklajevalni sestanki in predstavitve osnutkov.</w:t>
      </w:r>
    </w:p>
    <w:p w14:paraId="5DFF5CB3" w14:textId="77777777" w:rsidR="009A59A1" w:rsidRPr="006D1761" w:rsidRDefault="009A59A1" w:rsidP="00B249C1">
      <w:pPr>
        <w:spacing w:line="300" w:lineRule="atLeast"/>
        <w:jc w:val="both"/>
        <w:rPr>
          <w:rFonts w:cs="Arial"/>
          <w:iCs/>
          <w:szCs w:val="20"/>
          <w:lang w:val="sl-SI" w:eastAsia="sl-SI"/>
        </w:rPr>
      </w:pPr>
    </w:p>
    <w:p w14:paraId="5BA687E8" w14:textId="36C886BD" w:rsidR="00B249C1" w:rsidRPr="006D1761" w:rsidRDefault="00B249C1" w:rsidP="00B249C1">
      <w:pPr>
        <w:spacing w:line="300" w:lineRule="atLeast"/>
        <w:jc w:val="both"/>
        <w:rPr>
          <w:rFonts w:cs="Arial"/>
          <w:iCs/>
          <w:szCs w:val="20"/>
          <w:lang w:val="sl-SI" w:eastAsia="sl-SI"/>
        </w:rPr>
      </w:pPr>
      <w:r w:rsidRPr="006D1761">
        <w:rPr>
          <w:rFonts w:cs="Arial"/>
          <w:iCs/>
          <w:szCs w:val="20"/>
          <w:lang w:val="sl-SI" w:eastAsia="sl-SI"/>
        </w:rPr>
        <w:t xml:space="preserve">Osnutek predloga zakona je bil od 16. februarja do 18. marca 2024 v javni obravnavi. </w:t>
      </w:r>
    </w:p>
    <w:p w14:paraId="33057E78" w14:textId="77777777" w:rsidR="009A59A1" w:rsidRPr="006D1761" w:rsidRDefault="009A59A1" w:rsidP="00B249C1">
      <w:pPr>
        <w:spacing w:line="300" w:lineRule="atLeast"/>
        <w:jc w:val="both"/>
        <w:rPr>
          <w:rFonts w:cs="Arial"/>
          <w:iCs/>
          <w:szCs w:val="20"/>
          <w:highlight w:val="yellow"/>
          <w:lang w:val="sl-SI" w:eastAsia="sl-SI"/>
        </w:rPr>
      </w:pPr>
    </w:p>
    <w:p w14:paraId="1EB8C7B2" w14:textId="77777777" w:rsidR="00B249C1" w:rsidRPr="007C619B" w:rsidRDefault="00B249C1" w:rsidP="00B249C1">
      <w:pPr>
        <w:spacing w:line="300" w:lineRule="atLeast"/>
        <w:jc w:val="both"/>
        <w:rPr>
          <w:rFonts w:cs="Arial"/>
          <w:szCs w:val="20"/>
          <w:lang w:val="sl-SI"/>
        </w:rPr>
      </w:pPr>
      <w:r w:rsidRPr="007C619B">
        <w:rPr>
          <w:rFonts w:cs="Arial"/>
          <w:szCs w:val="20"/>
          <w:lang w:val="sl-SI"/>
        </w:rPr>
        <w:t xml:space="preserve">Predlog zakona je usklajen s samoupravnimi lokalnimi skupnostmi in delno s civilno družbo oziroma ciljnimi skupinami, na </w:t>
      </w:r>
      <w:r w:rsidRPr="007C619B">
        <w:rPr>
          <w:rFonts w:cs="Arial"/>
          <w:szCs w:val="20"/>
          <w:lang w:val="sl-SI" w:eastAsia="sl-SI"/>
        </w:rPr>
        <w:t>katere</w:t>
      </w:r>
      <w:r w:rsidRPr="007C619B">
        <w:rPr>
          <w:rFonts w:cs="Arial"/>
          <w:szCs w:val="20"/>
          <w:lang w:val="sl-SI"/>
        </w:rPr>
        <w:t xml:space="preserve"> se predlog zakona nanaša, ter s predstavniki zainteresirane javnosti.</w:t>
      </w:r>
    </w:p>
    <w:p w14:paraId="487B43DD" w14:textId="77777777" w:rsidR="009A59A1" w:rsidRPr="006D1761" w:rsidRDefault="009A59A1" w:rsidP="00B249C1">
      <w:pPr>
        <w:spacing w:line="300" w:lineRule="atLeast"/>
        <w:jc w:val="both"/>
        <w:rPr>
          <w:rFonts w:cs="Arial"/>
          <w:szCs w:val="20"/>
          <w:highlight w:val="yellow"/>
          <w:lang w:val="sl-SI"/>
        </w:rPr>
      </w:pPr>
    </w:p>
    <w:p w14:paraId="31D1BE2C" w14:textId="77777777" w:rsidR="00B249C1" w:rsidRPr="006D1761" w:rsidRDefault="00B249C1" w:rsidP="00B249C1">
      <w:pPr>
        <w:spacing w:line="300" w:lineRule="atLeast"/>
        <w:jc w:val="both"/>
        <w:rPr>
          <w:rFonts w:cs="Arial"/>
          <w:szCs w:val="20"/>
          <w:lang w:val="sl-SI"/>
        </w:rPr>
      </w:pPr>
      <w:r w:rsidRPr="006D1761">
        <w:rPr>
          <w:rFonts w:cs="Arial"/>
          <w:szCs w:val="20"/>
          <w:lang w:val="sl-SI"/>
        </w:rPr>
        <w:t>Navedba neusklajenih vprašanj izhaja iz točke 7 tega gradiva (PRIKAZ SODELOVANJA JAVNOSTI PRI PRIPRAVI PREDLOGA ZAKONA).</w:t>
      </w:r>
    </w:p>
    <w:p w14:paraId="421C860B" w14:textId="77777777" w:rsidR="00B249C1" w:rsidRPr="006D1761" w:rsidRDefault="00B249C1" w:rsidP="00A23D5D">
      <w:pPr>
        <w:spacing w:line="240" w:lineRule="exact"/>
        <w:jc w:val="both"/>
        <w:rPr>
          <w:rFonts w:cs="Arial"/>
          <w:szCs w:val="20"/>
          <w:highlight w:val="yellow"/>
          <w:lang w:val="sl-SI"/>
        </w:rPr>
      </w:pPr>
    </w:p>
    <w:p w14:paraId="0553D6CD" w14:textId="77777777" w:rsidR="00B249C1" w:rsidRPr="006D1761" w:rsidRDefault="00B249C1" w:rsidP="00A23D5D">
      <w:pPr>
        <w:spacing w:line="240" w:lineRule="exact"/>
        <w:jc w:val="both"/>
        <w:rPr>
          <w:rFonts w:cs="Arial"/>
          <w:szCs w:val="20"/>
          <w:highlight w:val="yellow"/>
          <w:lang w:val="sl-SI"/>
        </w:rPr>
      </w:pPr>
    </w:p>
    <w:p w14:paraId="291A676B" w14:textId="77777777" w:rsidR="00B249C1" w:rsidRPr="006D1761" w:rsidRDefault="00B249C1" w:rsidP="00A23D5D">
      <w:pPr>
        <w:spacing w:line="240" w:lineRule="exact"/>
        <w:jc w:val="both"/>
        <w:rPr>
          <w:rFonts w:cs="Arial"/>
          <w:szCs w:val="20"/>
          <w:highlight w:val="yellow"/>
          <w:lang w:val="sl-SI"/>
        </w:rPr>
      </w:pPr>
    </w:p>
    <w:p w14:paraId="0E7E2D34" w14:textId="77777777" w:rsidR="00DE4FA7" w:rsidRPr="006D1761" w:rsidRDefault="00DE4FA7" w:rsidP="00A23D5D">
      <w:pPr>
        <w:spacing w:line="240" w:lineRule="exact"/>
        <w:jc w:val="both"/>
        <w:rPr>
          <w:rFonts w:cs="Arial"/>
          <w:szCs w:val="20"/>
          <w:highlight w:val="yellow"/>
          <w:lang w:val="sl-SI"/>
        </w:rPr>
      </w:pPr>
    </w:p>
    <w:p w14:paraId="04D64AB4" w14:textId="77777777" w:rsidR="00E7333E" w:rsidRPr="006D1761" w:rsidRDefault="00E7333E">
      <w:pPr>
        <w:spacing w:line="240" w:lineRule="auto"/>
        <w:rPr>
          <w:rFonts w:cs="Arial"/>
          <w:b/>
          <w:szCs w:val="20"/>
          <w:lang w:val="sl-SI"/>
        </w:rPr>
      </w:pPr>
      <w:r w:rsidRPr="006D1761">
        <w:rPr>
          <w:rFonts w:cs="Arial"/>
          <w:b/>
          <w:szCs w:val="20"/>
          <w:lang w:val="sl-SI"/>
        </w:rPr>
        <w:br w:type="page"/>
      </w:r>
    </w:p>
    <w:p w14:paraId="7CD4C66E" w14:textId="036CED3F" w:rsidR="00A23D5D" w:rsidRPr="006D1761" w:rsidRDefault="00A23D5D" w:rsidP="00221B5E">
      <w:pPr>
        <w:suppressAutoHyphens/>
        <w:overflowPunct w:val="0"/>
        <w:autoSpaceDE w:val="0"/>
        <w:autoSpaceDN w:val="0"/>
        <w:adjustRightInd w:val="0"/>
        <w:spacing w:line="276" w:lineRule="auto"/>
        <w:jc w:val="both"/>
        <w:textAlignment w:val="baseline"/>
        <w:outlineLvl w:val="3"/>
        <w:rPr>
          <w:rFonts w:cs="Arial"/>
          <w:b/>
          <w:szCs w:val="20"/>
          <w:lang w:val="sl-SI"/>
        </w:rPr>
      </w:pPr>
      <w:r w:rsidRPr="006D1761">
        <w:rPr>
          <w:rFonts w:cs="Arial"/>
          <w:b/>
          <w:szCs w:val="20"/>
          <w:lang w:val="sl-SI"/>
        </w:rPr>
        <w:lastRenderedPageBreak/>
        <w:t>3. OCENA FINANČNIH POSLEDIC PREDLOGA ZAKONA ZA DRŽAVNI PRORAČUN IN DRUGA JAVNA FINANČNA SREDSTVA</w:t>
      </w:r>
    </w:p>
    <w:p w14:paraId="65A0F1B5" w14:textId="77777777" w:rsidR="00C0478B" w:rsidRPr="006D1761" w:rsidRDefault="00C0478B" w:rsidP="00221B5E">
      <w:pPr>
        <w:suppressAutoHyphens/>
        <w:overflowPunct w:val="0"/>
        <w:autoSpaceDE w:val="0"/>
        <w:autoSpaceDN w:val="0"/>
        <w:adjustRightInd w:val="0"/>
        <w:spacing w:line="276" w:lineRule="auto"/>
        <w:jc w:val="both"/>
        <w:textAlignment w:val="baseline"/>
        <w:outlineLvl w:val="3"/>
        <w:rPr>
          <w:rFonts w:cs="Arial"/>
          <w:b/>
          <w:szCs w:val="20"/>
          <w:lang w:val="sl-SI"/>
        </w:rPr>
      </w:pPr>
    </w:p>
    <w:p w14:paraId="57DFF93D" w14:textId="7B3453EC" w:rsidR="00C0478B" w:rsidRPr="006D1761" w:rsidRDefault="00E7333E" w:rsidP="00221B5E">
      <w:pPr>
        <w:suppressAutoHyphens/>
        <w:overflowPunct w:val="0"/>
        <w:autoSpaceDE w:val="0"/>
        <w:autoSpaceDN w:val="0"/>
        <w:adjustRightInd w:val="0"/>
        <w:spacing w:line="276" w:lineRule="auto"/>
        <w:jc w:val="both"/>
        <w:textAlignment w:val="baseline"/>
        <w:outlineLvl w:val="3"/>
        <w:rPr>
          <w:rFonts w:cs="Arial"/>
          <w:bCs/>
          <w:szCs w:val="20"/>
          <w:lang w:val="sl-SI"/>
        </w:rPr>
      </w:pPr>
      <w:r w:rsidRPr="006D1761">
        <w:rPr>
          <w:rFonts w:cs="Arial"/>
          <w:bCs/>
          <w:szCs w:val="20"/>
          <w:lang w:val="sl-SI"/>
        </w:rPr>
        <w:t>Pri pripravi ocene finančnih posledic predloga zakona je bila upoštevana p</w:t>
      </w:r>
      <w:r w:rsidR="00C0478B" w:rsidRPr="006D1761">
        <w:rPr>
          <w:rFonts w:cs="Arial"/>
          <w:bCs/>
          <w:szCs w:val="20"/>
          <w:lang w:val="sl-SI"/>
        </w:rPr>
        <w:t>reliminarn</w:t>
      </w:r>
      <w:r w:rsidRPr="006D1761">
        <w:rPr>
          <w:rFonts w:cs="Arial"/>
          <w:bCs/>
          <w:szCs w:val="20"/>
          <w:lang w:val="sl-SI"/>
        </w:rPr>
        <w:t>a</w:t>
      </w:r>
      <w:r w:rsidR="00C0478B" w:rsidRPr="006D1761">
        <w:rPr>
          <w:rFonts w:cs="Arial"/>
          <w:bCs/>
          <w:szCs w:val="20"/>
          <w:lang w:val="sl-SI"/>
        </w:rPr>
        <w:t xml:space="preserve"> ocen</w:t>
      </w:r>
      <w:r w:rsidRPr="006D1761">
        <w:rPr>
          <w:rFonts w:cs="Arial"/>
          <w:bCs/>
          <w:szCs w:val="20"/>
          <w:lang w:val="sl-SI"/>
        </w:rPr>
        <w:t>a</w:t>
      </w:r>
      <w:r w:rsidR="00C0478B" w:rsidRPr="006D1761">
        <w:rPr>
          <w:rFonts w:cs="Arial"/>
          <w:bCs/>
          <w:szCs w:val="20"/>
          <w:lang w:val="sl-SI"/>
        </w:rPr>
        <w:t xml:space="preserve"> </w:t>
      </w:r>
      <w:r w:rsidRPr="006D1761">
        <w:rPr>
          <w:rFonts w:cs="Arial"/>
          <w:bCs/>
          <w:szCs w:val="20"/>
          <w:lang w:val="sl-SI"/>
        </w:rPr>
        <w:t xml:space="preserve">o povečanju števila </w:t>
      </w:r>
      <w:r w:rsidR="00C0478B" w:rsidRPr="006D1761">
        <w:rPr>
          <w:rFonts w:cs="Arial"/>
          <w:bCs/>
          <w:szCs w:val="20"/>
          <w:lang w:val="sl-SI"/>
        </w:rPr>
        <w:t>zavezance</w:t>
      </w:r>
      <w:r w:rsidRPr="006D1761">
        <w:rPr>
          <w:rFonts w:cs="Arial"/>
          <w:bCs/>
          <w:szCs w:val="20"/>
          <w:lang w:val="sl-SI"/>
        </w:rPr>
        <w:t xml:space="preserve">. Ocena </w:t>
      </w:r>
      <w:r w:rsidR="00C0478B" w:rsidRPr="006D1761">
        <w:rPr>
          <w:rFonts w:cs="Arial"/>
          <w:bCs/>
          <w:szCs w:val="20"/>
          <w:lang w:val="sl-SI"/>
        </w:rPr>
        <w:t>kaže, da bo v Republiki Slovenije registriranih prek 1.000 subjektov. Gre za enajstkratno povečanje števila zavezancev, ki se bo neposredno odrazilo v delovanju pristojnega nacionalnega</w:t>
      </w:r>
      <w:r w:rsidRPr="006D1761">
        <w:rPr>
          <w:rFonts w:cs="Arial"/>
          <w:bCs/>
          <w:szCs w:val="20"/>
          <w:lang w:val="sl-SI"/>
        </w:rPr>
        <w:t xml:space="preserve"> organa</w:t>
      </w:r>
      <w:r w:rsidR="00C0478B" w:rsidRPr="006D1761">
        <w:rPr>
          <w:rFonts w:cs="Arial"/>
          <w:bCs/>
          <w:szCs w:val="20"/>
          <w:lang w:val="sl-SI"/>
        </w:rPr>
        <w:t xml:space="preserve">, skupinah CSIRT, varnostno operativnih centrih in </w:t>
      </w:r>
      <w:r w:rsidRPr="006D1761">
        <w:rPr>
          <w:rFonts w:cs="Arial"/>
          <w:bCs/>
          <w:szCs w:val="20"/>
          <w:lang w:val="sl-SI"/>
        </w:rPr>
        <w:t xml:space="preserve">nadzornem </w:t>
      </w:r>
      <w:r w:rsidR="00C0478B" w:rsidRPr="006D1761">
        <w:rPr>
          <w:rFonts w:cs="Arial"/>
          <w:bCs/>
          <w:szCs w:val="20"/>
          <w:lang w:val="sl-SI"/>
        </w:rPr>
        <w:t xml:space="preserve">organu. V luči obvladovanja skupnosti kibernetske varnosti bo potrebno okrepiti koordinacijo deležnikov, dvigniti sodelovanje med organi ter pristopiti k iskanju novih rešitev. Slednje vidimo v vpeljavi mehanizma za samoregistracijo, platformi za priglasitev incidentov in </w:t>
      </w:r>
      <w:r w:rsidR="002C5233" w:rsidRPr="006D1761">
        <w:rPr>
          <w:rFonts w:cs="Arial"/>
          <w:bCs/>
          <w:szCs w:val="20"/>
          <w:lang w:val="sl-SI"/>
        </w:rPr>
        <w:t>platformi</w:t>
      </w:r>
      <w:r w:rsidR="00C0478B" w:rsidRPr="006D1761">
        <w:rPr>
          <w:rFonts w:cs="Arial"/>
          <w:bCs/>
          <w:szCs w:val="20"/>
          <w:lang w:val="sl-SI"/>
        </w:rPr>
        <w:t xml:space="preserve"> za izmenjavo informacij.</w:t>
      </w:r>
      <w:r w:rsidR="002C5233" w:rsidRPr="006D1761">
        <w:rPr>
          <w:rFonts w:cs="Arial"/>
          <w:bCs/>
          <w:szCs w:val="20"/>
          <w:lang w:val="sl-SI"/>
        </w:rPr>
        <w:t xml:space="preserve"> Ob tem ne smemo pozabiti na kadrovsko popolnjenost in ustrezen načrte izobraževanja in usposabljanja.</w:t>
      </w:r>
    </w:p>
    <w:p w14:paraId="450D5797" w14:textId="77777777" w:rsidR="002C5233" w:rsidRPr="006D1761" w:rsidRDefault="002C5233" w:rsidP="00221B5E">
      <w:pPr>
        <w:spacing w:line="276" w:lineRule="auto"/>
        <w:jc w:val="both"/>
        <w:rPr>
          <w:rFonts w:cs="Arial"/>
          <w:bCs/>
          <w:szCs w:val="20"/>
          <w:lang w:val="sl-SI"/>
        </w:rPr>
      </w:pPr>
    </w:p>
    <w:p w14:paraId="5823458F" w14:textId="65C091E8" w:rsidR="002C5233" w:rsidRPr="006D1761" w:rsidRDefault="002C5233" w:rsidP="00221B5E">
      <w:pPr>
        <w:spacing w:line="276" w:lineRule="auto"/>
        <w:jc w:val="both"/>
        <w:rPr>
          <w:rFonts w:cs="Arial"/>
          <w:bCs/>
          <w:szCs w:val="20"/>
          <w:lang w:val="sl-SI"/>
        </w:rPr>
      </w:pPr>
      <w:r w:rsidRPr="006D1761">
        <w:rPr>
          <w:rFonts w:cs="Arial"/>
          <w:bCs/>
          <w:szCs w:val="20"/>
          <w:lang w:val="sl-SI"/>
        </w:rPr>
        <w:t>Z vzpostavitvijo in okrepitvijo delovanjem organov</w:t>
      </w:r>
      <w:r w:rsidR="00E7333E" w:rsidRPr="006D1761">
        <w:rPr>
          <w:rFonts w:cs="Arial"/>
          <w:bCs/>
          <w:szCs w:val="20"/>
          <w:lang w:val="sl-SI"/>
        </w:rPr>
        <w:t xml:space="preserve"> za izvajanje nalog</w:t>
      </w:r>
      <w:r w:rsidRPr="006D1761">
        <w:rPr>
          <w:rFonts w:cs="Arial"/>
          <w:bCs/>
          <w:szCs w:val="20"/>
          <w:lang w:val="sl-SI"/>
        </w:rPr>
        <w:t xml:space="preserve"> skladno s predlogom ZInfV-1 bodo nastale finančne posledice za državni proračun zaradi:</w:t>
      </w:r>
    </w:p>
    <w:p w14:paraId="5FAA602F" w14:textId="77777777" w:rsidR="002C5233" w:rsidRPr="006D1761" w:rsidRDefault="002C5233" w:rsidP="00221B5E">
      <w:pPr>
        <w:spacing w:line="276" w:lineRule="auto"/>
        <w:jc w:val="both"/>
        <w:rPr>
          <w:rFonts w:cs="Arial"/>
          <w:bCs/>
          <w:szCs w:val="20"/>
          <w:lang w:val="sl-SI"/>
        </w:rPr>
      </w:pPr>
    </w:p>
    <w:p w14:paraId="39E01878" w14:textId="75390C27" w:rsidR="00457E55" w:rsidRPr="006D1761" w:rsidRDefault="002C5233" w:rsidP="00192D96">
      <w:pPr>
        <w:numPr>
          <w:ilvl w:val="0"/>
          <w:numId w:val="18"/>
        </w:numPr>
        <w:spacing w:line="300" w:lineRule="atLeast"/>
        <w:contextualSpacing/>
        <w:jc w:val="both"/>
        <w:rPr>
          <w:rFonts w:cs="Arial"/>
          <w:bCs/>
          <w:szCs w:val="20"/>
          <w:lang w:val="sl-SI"/>
        </w:rPr>
      </w:pPr>
      <w:r w:rsidRPr="006D1761">
        <w:rPr>
          <w:rFonts w:cs="Arial"/>
          <w:bCs/>
          <w:szCs w:val="20"/>
          <w:lang w:val="sl-SI"/>
        </w:rPr>
        <w:t>zagotovitve pogojev za delovanje pristojnega nacionalnega organa</w:t>
      </w:r>
      <w:r w:rsidR="00457E55" w:rsidRPr="006D1761">
        <w:rPr>
          <w:rFonts w:cs="Arial"/>
          <w:bCs/>
          <w:szCs w:val="20"/>
          <w:lang w:val="sl-SI"/>
        </w:rPr>
        <w:t xml:space="preserve">, </w:t>
      </w:r>
      <w:r w:rsidR="00F369DF" w:rsidRPr="006D1761">
        <w:rPr>
          <w:rFonts w:cs="Arial"/>
          <w:bCs/>
          <w:szCs w:val="20"/>
          <w:lang w:val="sl-SI"/>
        </w:rPr>
        <w:t xml:space="preserve">vključno z zagotovitvijo </w:t>
      </w:r>
      <w:r w:rsidRPr="006D1761">
        <w:rPr>
          <w:rFonts w:cs="Arial"/>
          <w:bCs/>
          <w:szCs w:val="20"/>
          <w:lang w:val="sl-SI"/>
        </w:rPr>
        <w:t xml:space="preserve">pogojev </w:t>
      </w:r>
      <w:r w:rsidR="00A02CC4" w:rsidRPr="006D1761">
        <w:rPr>
          <w:rFonts w:cs="Arial"/>
          <w:bCs/>
          <w:szCs w:val="20"/>
          <w:lang w:val="sl-SI"/>
        </w:rPr>
        <w:t>za</w:t>
      </w:r>
    </w:p>
    <w:p w14:paraId="2561DFCD" w14:textId="231B6360" w:rsidR="00457E55" w:rsidRDefault="002C5233" w:rsidP="003B2726">
      <w:pPr>
        <w:pStyle w:val="Odstavekseznama"/>
        <w:numPr>
          <w:ilvl w:val="1"/>
          <w:numId w:val="20"/>
        </w:numPr>
        <w:spacing w:line="300" w:lineRule="atLeast"/>
        <w:rPr>
          <w:rFonts w:cs="Arial"/>
          <w:szCs w:val="20"/>
          <w:lang w:val="sl-SI"/>
        </w:rPr>
      </w:pPr>
      <w:r w:rsidRPr="006D1761">
        <w:rPr>
          <w:rFonts w:cs="Arial"/>
          <w:szCs w:val="20"/>
          <w:lang w:val="sl-SI"/>
        </w:rPr>
        <w:t>delovanje enotne kontaktne točke za kibernetsko varnost;</w:t>
      </w:r>
      <w:r w:rsidR="00457E55" w:rsidRPr="006D1761">
        <w:rPr>
          <w:rFonts w:cs="Arial"/>
          <w:szCs w:val="20"/>
          <w:lang w:val="sl-SI"/>
        </w:rPr>
        <w:t xml:space="preserve"> </w:t>
      </w:r>
    </w:p>
    <w:p w14:paraId="12208DBA" w14:textId="26D2BD2E" w:rsidR="00221B5E" w:rsidRPr="006D1761" w:rsidRDefault="00221B5E" w:rsidP="003B2726">
      <w:pPr>
        <w:pStyle w:val="Odstavekseznama"/>
        <w:numPr>
          <w:ilvl w:val="1"/>
          <w:numId w:val="20"/>
        </w:numPr>
        <w:spacing w:line="300" w:lineRule="atLeast"/>
        <w:rPr>
          <w:rFonts w:cs="Arial"/>
          <w:szCs w:val="20"/>
          <w:lang w:val="sl-SI"/>
        </w:rPr>
      </w:pPr>
      <w:r>
        <w:rPr>
          <w:rFonts w:cs="Arial"/>
          <w:szCs w:val="20"/>
          <w:lang w:val="sl-SI"/>
        </w:rPr>
        <w:t xml:space="preserve">delovanje </w:t>
      </w:r>
      <w:r w:rsidRPr="00221B5E">
        <w:rPr>
          <w:rFonts w:cs="Arial"/>
          <w:szCs w:val="20"/>
          <w:lang w:val="sl-SI"/>
        </w:rPr>
        <w:t>organ</w:t>
      </w:r>
      <w:r>
        <w:rPr>
          <w:rFonts w:cs="Arial"/>
          <w:szCs w:val="20"/>
          <w:lang w:val="sl-SI"/>
        </w:rPr>
        <w:t>a</w:t>
      </w:r>
      <w:r w:rsidRPr="00221B5E">
        <w:rPr>
          <w:rFonts w:cs="Arial"/>
          <w:szCs w:val="20"/>
          <w:lang w:val="sl-SI"/>
        </w:rPr>
        <w:t xml:space="preserve"> za obvladovanje kibernetskih kriz</w:t>
      </w:r>
      <w:r>
        <w:rPr>
          <w:rFonts w:cs="Arial"/>
          <w:szCs w:val="20"/>
          <w:lang w:val="sl-SI"/>
        </w:rPr>
        <w:t>;</w:t>
      </w:r>
    </w:p>
    <w:p w14:paraId="5A1A454B" w14:textId="203CF6D1" w:rsidR="00457E55" w:rsidRPr="006D1761" w:rsidRDefault="002C5233" w:rsidP="003B2726">
      <w:pPr>
        <w:pStyle w:val="Odstavekseznama"/>
        <w:numPr>
          <w:ilvl w:val="1"/>
          <w:numId w:val="20"/>
        </w:numPr>
        <w:spacing w:line="300" w:lineRule="atLeast"/>
        <w:rPr>
          <w:rFonts w:cs="Arial"/>
          <w:szCs w:val="20"/>
          <w:lang w:val="sl-SI"/>
        </w:rPr>
      </w:pPr>
      <w:r w:rsidRPr="006D1761">
        <w:rPr>
          <w:rFonts w:cs="Arial"/>
          <w:szCs w:val="20"/>
          <w:lang w:val="sl-SI"/>
        </w:rPr>
        <w:t>izvajanje nalog organa za obvladovanje incidentov velikih razsežnosti in kriz;</w:t>
      </w:r>
    </w:p>
    <w:p w14:paraId="5C0C8DF0" w14:textId="5DD56CB1" w:rsidR="00457E55" w:rsidRDefault="002C5233" w:rsidP="003B2726">
      <w:pPr>
        <w:pStyle w:val="Odstavekseznama"/>
        <w:numPr>
          <w:ilvl w:val="1"/>
          <w:numId w:val="20"/>
        </w:numPr>
        <w:spacing w:line="300" w:lineRule="atLeast"/>
        <w:rPr>
          <w:rFonts w:cs="Arial"/>
          <w:szCs w:val="20"/>
          <w:lang w:val="sl-SI"/>
        </w:rPr>
      </w:pPr>
      <w:r w:rsidRPr="006D1761">
        <w:rPr>
          <w:rFonts w:cs="Arial"/>
          <w:szCs w:val="20"/>
          <w:lang w:val="sl-SI"/>
        </w:rPr>
        <w:t>izvajanje certifikacijskih shem za kibernetsko varnost;</w:t>
      </w:r>
      <w:r w:rsidR="00457E55" w:rsidRPr="006D1761">
        <w:rPr>
          <w:rFonts w:cs="Arial"/>
          <w:szCs w:val="20"/>
          <w:lang w:val="sl-SI"/>
        </w:rPr>
        <w:t xml:space="preserve"> </w:t>
      </w:r>
    </w:p>
    <w:p w14:paraId="5C6ED4FA" w14:textId="7E166BFA" w:rsidR="00192D96" w:rsidRPr="006D1761" w:rsidRDefault="00192D96" w:rsidP="003B2726">
      <w:pPr>
        <w:pStyle w:val="Odstavekseznama"/>
        <w:numPr>
          <w:ilvl w:val="1"/>
          <w:numId w:val="20"/>
        </w:numPr>
        <w:spacing w:line="300" w:lineRule="atLeast"/>
        <w:rPr>
          <w:rFonts w:cs="Arial"/>
          <w:szCs w:val="20"/>
          <w:lang w:val="sl-SI"/>
        </w:rPr>
      </w:pPr>
      <w:r>
        <w:rPr>
          <w:rFonts w:cs="Arial"/>
          <w:szCs w:val="20"/>
          <w:lang w:val="sl-SI"/>
        </w:rPr>
        <w:t>izpolnjevanje zakonskih pogojev za delovanje SIGOV-CERT;</w:t>
      </w:r>
    </w:p>
    <w:p w14:paraId="458F4558" w14:textId="5FB7A80D" w:rsidR="00457E55" w:rsidRPr="006D1761" w:rsidRDefault="00A02CC4" w:rsidP="003B2726">
      <w:pPr>
        <w:numPr>
          <w:ilvl w:val="1"/>
          <w:numId w:val="20"/>
        </w:numPr>
        <w:spacing w:line="300" w:lineRule="atLeast"/>
        <w:contextualSpacing/>
        <w:rPr>
          <w:rFonts w:cs="Arial"/>
          <w:szCs w:val="20"/>
          <w:lang w:val="sl-SI"/>
        </w:rPr>
      </w:pPr>
      <w:r w:rsidRPr="006D1761">
        <w:rPr>
          <w:rFonts w:cs="Arial"/>
          <w:szCs w:val="20"/>
          <w:lang w:val="sl-SI"/>
        </w:rPr>
        <w:t xml:space="preserve">okrepljeno </w:t>
      </w:r>
      <w:r w:rsidR="00457E55" w:rsidRPr="006D1761">
        <w:rPr>
          <w:rFonts w:cs="Arial"/>
          <w:szCs w:val="20"/>
          <w:lang w:val="sl-SI"/>
        </w:rPr>
        <w:t>delovanje Inšpekcije za informacijsko varnost</w:t>
      </w:r>
      <w:r w:rsidR="00457E55" w:rsidRPr="006D1761">
        <w:rPr>
          <w:rFonts w:cs="Arial"/>
          <w:szCs w:val="20"/>
          <w:lang w:val="sl-SI" w:eastAsia="sl-SI"/>
        </w:rPr>
        <w:t>.</w:t>
      </w:r>
    </w:p>
    <w:p w14:paraId="7D78650B" w14:textId="111D2AAA" w:rsidR="00192D96" w:rsidRPr="006D1761" w:rsidRDefault="002C5233" w:rsidP="00192D96">
      <w:pPr>
        <w:numPr>
          <w:ilvl w:val="0"/>
          <w:numId w:val="18"/>
        </w:numPr>
        <w:spacing w:line="300" w:lineRule="atLeast"/>
        <w:contextualSpacing/>
        <w:rPr>
          <w:rFonts w:cs="Arial"/>
          <w:szCs w:val="20"/>
          <w:lang w:val="sl-SI"/>
        </w:rPr>
      </w:pPr>
      <w:r w:rsidRPr="006D1761">
        <w:rPr>
          <w:rFonts w:cs="Arial"/>
          <w:szCs w:val="20"/>
          <w:lang w:val="sl-SI"/>
        </w:rPr>
        <w:t xml:space="preserve">zagotovitve </w:t>
      </w:r>
      <w:r w:rsidR="00A02CC4" w:rsidRPr="006D1761">
        <w:rPr>
          <w:rFonts w:cs="Arial"/>
          <w:szCs w:val="20"/>
          <w:lang w:val="sl-SI"/>
        </w:rPr>
        <w:t xml:space="preserve">zakonskih </w:t>
      </w:r>
      <w:r w:rsidRPr="006D1761">
        <w:rPr>
          <w:rFonts w:cs="Arial"/>
          <w:szCs w:val="20"/>
          <w:lang w:val="sl-SI"/>
        </w:rPr>
        <w:t xml:space="preserve">pogojev za delovanje skupin </w:t>
      </w:r>
      <w:r w:rsidRPr="006D1761">
        <w:rPr>
          <w:rFonts w:cs="Arial"/>
          <w:szCs w:val="20"/>
          <w:lang w:val="sl-SI" w:eastAsia="sl-SI"/>
        </w:rPr>
        <w:t>CSIRT</w:t>
      </w:r>
      <w:r w:rsidR="00192D96" w:rsidRPr="00192D96">
        <w:rPr>
          <w:rFonts w:cs="Arial"/>
          <w:szCs w:val="20"/>
          <w:lang w:val="sl-SI"/>
        </w:rPr>
        <w:t xml:space="preserve"> </w:t>
      </w:r>
      <w:r w:rsidR="00192D96">
        <w:rPr>
          <w:rFonts w:cs="Arial"/>
          <w:szCs w:val="20"/>
          <w:lang w:val="sl-SI"/>
        </w:rPr>
        <w:t>ter</w:t>
      </w:r>
      <w:r w:rsidR="00192D96" w:rsidRPr="006D1761">
        <w:rPr>
          <w:rFonts w:cs="Arial"/>
          <w:szCs w:val="20"/>
          <w:lang w:val="sl-SI"/>
        </w:rPr>
        <w:t xml:space="preserve"> pogojev za izvajanje nalog usklajenega razkrivanje ranljivosti.</w:t>
      </w:r>
    </w:p>
    <w:p w14:paraId="3F9725D2" w14:textId="77777777" w:rsidR="002C5233" w:rsidRPr="006D1761" w:rsidRDefault="002C5233" w:rsidP="003B2726">
      <w:pPr>
        <w:numPr>
          <w:ilvl w:val="0"/>
          <w:numId w:val="18"/>
        </w:numPr>
        <w:spacing w:line="300" w:lineRule="atLeast"/>
        <w:contextualSpacing/>
        <w:rPr>
          <w:rFonts w:cs="Arial"/>
          <w:szCs w:val="20"/>
          <w:lang w:val="sl-SI"/>
        </w:rPr>
      </w:pPr>
      <w:r w:rsidRPr="006D1761">
        <w:rPr>
          <w:rFonts w:cs="Arial"/>
          <w:szCs w:val="20"/>
          <w:lang w:val="sl-SI"/>
        </w:rPr>
        <w:t>zagotovitev pogojev za delovanje ali vzpostavitev varnostno operativnih centrov organov državne uprave;</w:t>
      </w:r>
    </w:p>
    <w:p w14:paraId="47F49FCC" w14:textId="106C9A6B" w:rsidR="002C5233" w:rsidRPr="006D1761" w:rsidRDefault="00F369DF" w:rsidP="00F369DF">
      <w:pPr>
        <w:spacing w:before="120" w:after="360" w:line="300" w:lineRule="atLeast"/>
        <w:jc w:val="both"/>
        <w:rPr>
          <w:rFonts w:cs="Arial"/>
          <w:szCs w:val="20"/>
          <w:lang w:val="sl-SI"/>
        </w:rPr>
      </w:pPr>
      <w:r w:rsidRPr="006D1761">
        <w:rPr>
          <w:rFonts w:cs="Arial"/>
          <w:szCs w:val="20"/>
          <w:lang w:val="sl-SI" w:eastAsia="sl-SI"/>
        </w:rPr>
        <w:t>P</w:t>
      </w:r>
      <w:r w:rsidR="002C5233" w:rsidRPr="006D1761">
        <w:rPr>
          <w:rFonts w:cs="Arial"/>
          <w:szCs w:val="20"/>
          <w:lang w:val="sl-SI" w:eastAsia="sl-SI"/>
        </w:rPr>
        <w:t xml:space="preserve">ri oceni potrebnih finančnih sredstev je pri točkah 1 do 3 upoštevan letni bruto 2 znesek plače zaposlenega, skupaj s povračili stroškov in drugimi prejemki iz delovnega razmerja, v višini </w:t>
      </w:r>
      <w:r w:rsidR="00E7333E" w:rsidRPr="006D1761">
        <w:rPr>
          <w:rFonts w:cs="Arial"/>
          <w:szCs w:val="20"/>
          <w:lang w:val="sl-SI" w:eastAsia="sl-SI"/>
        </w:rPr>
        <w:t>45</w:t>
      </w:r>
      <w:r w:rsidR="002C5233" w:rsidRPr="006D1761">
        <w:rPr>
          <w:rFonts w:cs="Arial"/>
          <w:szCs w:val="20"/>
          <w:lang w:val="sl-SI" w:eastAsia="sl-SI"/>
        </w:rPr>
        <w:t xml:space="preserve">.000 eurov ter enkraten strošek vzpostavitve posameznega delovnega mesta v višini 5.000 eurov in letni strošek kasnejšega delovanja v višini 2.000 eurov na posamezno delovno </w:t>
      </w:r>
      <w:r w:rsidR="002C5233" w:rsidRPr="006D1761">
        <w:rPr>
          <w:rFonts w:cs="Arial"/>
          <w:szCs w:val="20"/>
          <w:lang w:val="sl-SI"/>
        </w:rPr>
        <w:t>mesto. V oceni je prav tako upoštevan letni strošek službenih poti in izobraževanja v višini 1.200 EUR na zaposlenega. Ker se bo ZI</w:t>
      </w:r>
      <w:r w:rsidRPr="006D1761">
        <w:rPr>
          <w:rFonts w:cs="Arial"/>
          <w:szCs w:val="20"/>
          <w:lang w:val="sl-SI"/>
        </w:rPr>
        <w:t>nf</w:t>
      </w:r>
      <w:r w:rsidR="002C5233" w:rsidRPr="006D1761">
        <w:rPr>
          <w:rFonts w:cs="Arial"/>
          <w:szCs w:val="20"/>
          <w:lang w:val="sl-SI"/>
        </w:rPr>
        <w:t>V</w:t>
      </w:r>
      <w:r w:rsidRPr="006D1761">
        <w:rPr>
          <w:rFonts w:cs="Arial"/>
          <w:szCs w:val="20"/>
          <w:lang w:val="sl-SI"/>
        </w:rPr>
        <w:t>-1</w:t>
      </w:r>
      <w:r w:rsidR="002C5233" w:rsidRPr="006D1761">
        <w:rPr>
          <w:rFonts w:cs="Arial"/>
          <w:szCs w:val="20"/>
          <w:lang w:val="sl-SI"/>
        </w:rPr>
        <w:t xml:space="preserve"> predvidoma pričel izvajati </w:t>
      </w:r>
      <w:r w:rsidRPr="006D1761">
        <w:rPr>
          <w:rFonts w:cs="Arial"/>
          <w:szCs w:val="20"/>
          <w:lang w:val="sl-SI"/>
        </w:rPr>
        <w:t>ob koncu leta 2024</w:t>
      </w:r>
      <w:r w:rsidR="002C5233" w:rsidRPr="006D1761">
        <w:rPr>
          <w:rFonts w:cs="Arial"/>
          <w:szCs w:val="20"/>
          <w:lang w:val="sl-SI"/>
        </w:rPr>
        <w:t xml:space="preserve">, so stroški za leto </w:t>
      </w:r>
      <w:r w:rsidRPr="006D1761">
        <w:rPr>
          <w:rFonts w:cs="Arial"/>
          <w:szCs w:val="20"/>
          <w:lang w:val="sl-SI"/>
        </w:rPr>
        <w:t>2024</w:t>
      </w:r>
      <w:r w:rsidR="002C5233" w:rsidRPr="006D1761">
        <w:rPr>
          <w:rFonts w:cs="Arial"/>
          <w:szCs w:val="20"/>
          <w:lang w:val="sl-SI"/>
        </w:rPr>
        <w:t xml:space="preserve"> temu ustrezno prilagojeni (znižani)</w:t>
      </w:r>
      <w:r w:rsidRPr="006D1761">
        <w:rPr>
          <w:rFonts w:cs="Arial"/>
          <w:szCs w:val="20"/>
          <w:lang w:val="sl-SI"/>
        </w:rPr>
        <w:t xml:space="preserve"> oziroma je upoštevano obstoječe stanje</w:t>
      </w:r>
      <w:r w:rsidR="002C5233" w:rsidRPr="006D1761">
        <w:rPr>
          <w:rFonts w:cs="Arial"/>
          <w:szCs w:val="20"/>
          <w:lang w:val="sl-SI"/>
        </w:rPr>
        <w:t>.</w:t>
      </w:r>
    </w:p>
    <w:p w14:paraId="320F30DB" w14:textId="77777777" w:rsidR="00F369DF" w:rsidRPr="006D1761" w:rsidRDefault="00F369DF" w:rsidP="00F369DF">
      <w:pPr>
        <w:tabs>
          <w:tab w:val="left" w:pos="1440"/>
        </w:tabs>
        <w:jc w:val="both"/>
        <w:rPr>
          <w:rFonts w:cs="Arial"/>
          <w:b/>
          <w:szCs w:val="20"/>
          <w:lang w:val="sl-SI" w:eastAsia="sl-SI"/>
        </w:rPr>
      </w:pPr>
      <w:r w:rsidRPr="006D1761">
        <w:rPr>
          <w:rFonts w:cs="Arial"/>
          <w:b/>
          <w:szCs w:val="20"/>
          <w:lang w:val="sl-SI" w:eastAsia="sl-SI"/>
        </w:rPr>
        <w:t>Skupni ocenjeni stroški za delovanja organov skladno s predlogom ZInfV-1:</w:t>
      </w:r>
    </w:p>
    <w:p w14:paraId="3C214399" w14:textId="77777777" w:rsidR="00F369DF" w:rsidRPr="006D1761" w:rsidRDefault="00F369DF" w:rsidP="00F369DF">
      <w:pPr>
        <w:tabs>
          <w:tab w:val="left" w:pos="1440"/>
        </w:tabs>
        <w:jc w:val="both"/>
        <w:rPr>
          <w:rFonts w:cs="Arial"/>
          <w:bCs/>
          <w:szCs w:val="20"/>
          <w:lang w:val="sl-SI"/>
        </w:rPr>
      </w:pPr>
    </w:p>
    <w:tbl>
      <w:tblPr>
        <w:tblW w:w="8856" w:type="dxa"/>
        <w:tblCellMar>
          <w:left w:w="70" w:type="dxa"/>
          <w:right w:w="70" w:type="dxa"/>
        </w:tblCellMar>
        <w:tblLook w:val="04A0" w:firstRow="1" w:lastRow="0" w:firstColumn="1" w:lastColumn="0" w:noHBand="0" w:noVBand="1"/>
      </w:tblPr>
      <w:tblGrid>
        <w:gridCol w:w="473"/>
        <w:gridCol w:w="3389"/>
        <w:gridCol w:w="1157"/>
        <w:gridCol w:w="1301"/>
        <w:gridCol w:w="1235"/>
        <w:gridCol w:w="1301"/>
      </w:tblGrid>
      <w:tr w:rsidR="00F369DF" w:rsidRPr="006D1761" w14:paraId="62544ED6" w14:textId="77777777" w:rsidTr="00D33EEC">
        <w:trPr>
          <w:trHeight w:val="300"/>
        </w:trPr>
        <w:tc>
          <w:tcPr>
            <w:tcW w:w="3862" w:type="dxa"/>
            <w:gridSpan w:val="2"/>
            <w:tcBorders>
              <w:top w:val="nil"/>
              <w:left w:val="nil"/>
              <w:bottom w:val="single" w:sz="12" w:space="0" w:color="FFFFFF"/>
              <w:right w:val="single" w:sz="4" w:space="0" w:color="FFFFFF"/>
            </w:tcBorders>
            <w:shd w:val="clear" w:color="4472C4" w:fill="4472C4"/>
            <w:noWrap/>
            <w:vAlign w:val="center"/>
            <w:hideMark/>
          </w:tcPr>
          <w:p w14:paraId="0BD21A47" w14:textId="77777777" w:rsidR="00F369DF" w:rsidRPr="006D1761" w:rsidRDefault="00F369DF" w:rsidP="00D33EEC">
            <w:pPr>
              <w:spacing w:line="240" w:lineRule="auto"/>
              <w:rPr>
                <w:rFonts w:cs="Arial"/>
                <w:b/>
                <w:bCs/>
                <w:color w:val="FFFFFF"/>
                <w:szCs w:val="20"/>
                <w:lang w:val="sl-SI" w:eastAsia="sl-SI"/>
              </w:rPr>
            </w:pPr>
            <w:bookmarkStart w:id="8" w:name="_Hlk162506216"/>
          </w:p>
        </w:tc>
        <w:tc>
          <w:tcPr>
            <w:tcW w:w="1157" w:type="dxa"/>
            <w:tcBorders>
              <w:top w:val="nil"/>
              <w:left w:val="single" w:sz="4" w:space="0" w:color="FFFFFF"/>
              <w:bottom w:val="single" w:sz="12" w:space="0" w:color="FFFFFF"/>
              <w:right w:val="single" w:sz="4" w:space="0" w:color="FFFFFF"/>
            </w:tcBorders>
            <w:shd w:val="clear" w:color="4472C4" w:fill="4472C4"/>
            <w:noWrap/>
            <w:vAlign w:val="center"/>
            <w:hideMark/>
          </w:tcPr>
          <w:p w14:paraId="1646CBAB" w14:textId="77777777" w:rsidR="00F369DF" w:rsidRPr="006D1761" w:rsidRDefault="00F369DF" w:rsidP="00D33EEC">
            <w:pPr>
              <w:spacing w:line="240" w:lineRule="auto"/>
              <w:jc w:val="center"/>
              <w:rPr>
                <w:rFonts w:cs="Arial"/>
                <w:b/>
                <w:bCs/>
                <w:color w:val="FFFFFF"/>
                <w:szCs w:val="20"/>
                <w:lang w:val="sl-SI" w:eastAsia="sl-SI"/>
              </w:rPr>
            </w:pPr>
            <w:r w:rsidRPr="006D1761">
              <w:rPr>
                <w:rFonts w:cs="Arial"/>
                <w:b/>
                <w:bCs/>
                <w:color w:val="FFFFFF"/>
                <w:szCs w:val="20"/>
                <w:lang w:val="sl-SI" w:eastAsia="sl-SI"/>
              </w:rPr>
              <w:t>t</w:t>
            </w:r>
          </w:p>
        </w:tc>
        <w:tc>
          <w:tcPr>
            <w:tcW w:w="1301" w:type="dxa"/>
            <w:tcBorders>
              <w:top w:val="nil"/>
              <w:left w:val="single" w:sz="4" w:space="0" w:color="FFFFFF"/>
              <w:bottom w:val="single" w:sz="12" w:space="0" w:color="FFFFFF"/>
              <w:right w:val="single" w:sz="4" w:space="0" w:color="FFFFFF"/>
            </w:tcBorders>
            <w:shd w:val="clear" w:color="4472C4" w:fill="4472C4"/>
            <w:noWrap/>
            <w:vAlign w:val="center"/>
            <w:hideMark/>
          </w:tcPr>
          <w:p w14:paraId="3500299A" w14:textId="77777777" w:rsidR="00F369DF" w:rsidRPr="006D1761" w:rsidRDefault="00F369DF" w:rsidP="00D33EEC">
            <w:pPr>
              <w:spacing w:line="240" w:lineRule="auto"/>
              <w:jc w:val="center"/>
              <w:rPr>
                <w:rFonts w:cs="Arial"/>
                <w:b/>
                <w:bCs/>
                <w:color w:val="FFFFFF"/>
                <w:szCs w:val="20"/>
                <w:lang w:val="sl-SI" w:eastAsia="sl-SI"/>
              </w:rPr>
            </w:pPr>
            <w:r w:rsidRPr="006D1761">
              <w:rPr>
                <w:rFonts w:cs="Arial"/>
                <w:b/>
                <w:bCs/>
                <w:color w:val="FFFFFF"/>
                <w:szCs w:val="20"/>
                <w:lang w:val="sl-SI" w:eastAsia="sl-SI"/>
              </w:rPr>
              <w:t>t + 1</w:t>
            </w:r>
          </w:p>
        </w:tc>
        <w:tc>
          <w:tcPr>
            <w:tcW w:w="1235" w:type="dxa"/>
            <w:tcBorders>
              <w:top w:val="nil"/>
              <w:left w:val="single" w:sz="4" w:space="0" w:color="FFFFFF"/>
              <w:bottom w:val="single" w:sz="12" w:space="0" w:color="FFFFFF"/>
              <w:right w:val="single" w:sz="4" w:space="0" w:color="FFFFFF"/>
            </w:tcBorders>
            <w:shd w:val="clear" w:color="4472C4" w:fill="4472C4"/>
            <w:noWrap/>
            <w:vAlign w:val="center"/>
            <w:hideMark/>
          </w:tcPr>
          <w:p w14:paraId="6248C18D" w14:textId="77777777" w:rsidR="00F369DF" w:rsidRPr="006D1761" w:rsidRDefault="00F369DF" w:rsidP="00D33EEC">
            <w:pPr>
              <w:spacing w:line="240" w:lineRule="auto"/>
              <w:jc w:val="center"/>
              <w:rPr>
                <w:rFonts w:cs="Arial"/>
                <w:b/>
                <w:bCs/>
                <w:color w:val="FFFFFF"/>
                <w:szCs w:val="20"/>
                <w:lang w:val="sl-SI" w:eastAsia="sl-SI"/>
              </w:rPr>
            </w:pPr>
            <w:r w:rsidRPr="006D1761">
              <w:rPr>
                <w:rFonts w:cs="Arial"/>
                <w:b/>
                <w:bCs/>
                <w:color w:val="FFFFFF"/>
                <w:szCs w:val="20"/>
                <w:lang w:val="sl-SI" w:eastAsia="sl-SI"/>
              </w:rPr>
              <w:t>t + 2</w:t>
            </w:r>
          </w:p>
        </w:tc>
        <w:tc>
          <w:tcPr>
            <w:tcW w:w="1301" w:type="dxa"/>
            <w:tcBorders>
              <w:top w:val="nil"/>
              <w:left w:val="single" w:sz="4" w:space="0" w:color="FFFFFF"/>
              <w:bottom w:val="single" w:sz="12" w:space="0" w:color="FFFFFF"/>
              <w:right w:val="nil"/>
            </w:tcBorders>
            <w:shd w:val="clear" w:color="4472C4" w:fill="4472C4"/>
            <w:noWrap/>
            <w:vAlign w:val="center"/>
            <w:hideMark/>
          </w:tcPr>
          <w:p w14:paraId="1C361870" w14:textId="77777777" w:rsidR="00F369DF" w:rsidRPr="006D1761" w:rsidRDefault="00F369DF" w:rsidP="00D33EEC">
            <w:pPr>
              <w:spacing w:line="240" w:lineRule="auto"/>
              <w:jc w:val="center"/>
              <w:rPr>
                <w:rFonts w:cs="Arial"/>
                <w:b/>
                <w:bCs/>
                <w:color w:val="FFFFFF"/>
                <w:szCs w:val="20"/>
                <w:lang w:val="sl-SI" w:eastAsia="sl-SI"/>
              </w:rPr>
            </w:pPr>
            <w:r w:rsidRPr="006D1761">
              <w:rPr>
                <w:rFonts w:cs="Arial"/>
                <w:b/>
                <w:bCs/>
                <w:color w:val="FFFFFF"/>
                <w:szCs w:val="20"/>
                <w:lang w:val="sl-SI" w:eastAsia="sl-SI"/>
              </w:rPr>
              <w:t>t + 3</w:t>
            </w:r>
          </w:p>
        </w:tc>
      </w:tr>
      <w:tr w:rsidR="00F369DF" w:rsidRPr="006D1761" w14:paraId="17BDE37B" w14:textId="77777777" w:rsidTr="00D33EEC">
        <w:trPr>
          <w:trHeight w:val="300"/>
        </w:trPr>
        <w:tc>
          <w:tcPr>
            <w:tcW w:w="473" w:type="dxa"/>
            <w:tcBorders>
              <w:top w:val="single" w:sz="4" w:space="0" w:color="FFFFFF"/>
              <w:left w:val="nil"/>
              <w:bottom w:val="single" w:sz="4" w:space="0" w:color="FFFFFF"/>
              <w:right w:val="single" w:sz="4" w:space="0" w:color="FFFFFF"/>
            </w:tcBorders>
            <w:shd w:val="clear" w:color="B4C6E7" w:fill="B4C6E7"/>
            <w:noWrap/>
            <w:vAlign w:val="center"/>
            <w:hideMark/>
          </w:tcPr>
          <w:p w14:paraId="576152E3" w14:textId="77777777" w:rsidR="00F369DF" w:rsidRPr="006D1761" w:rsidRDefault="00F369DF" w:rsidP="00D33EEC">
            <w:pPr>
              <w:spacing w:line="240" w:lineRule="auto"/>
              <w:jc w:val="center"/>
              <w:rPr>
                <w:rFonts w:cs="Arial"/>
                <w:b/>
                <w:bCs/>
                <w:color w:val="FFFFFF"/>
                <w:szCs w:val="20"/>
                <w:lang w:val="sl-SI" w:eastAsia="sl-SI"/>
              </w:rPr>
            </w:pPr>
          </w:p>
        </w:tc>
        <w:tc>
          <w:tcPr>
            <w:tcW w:w="3389"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14:paraId="4BB5C4ED" w14:textId="77777777" w:rsidR="00F369DF" w:rsidRPr="006D1761" w:rsidRDefault="00F369DF" w:rsidP="00D33EEC">
            <w:pPr>
              <w:spacing w:line="240" w:lineRule="auto"/>
              <w:rPr>
                <w:rFonts w:cs="Arial"/>
                <w:b/>
                <w:bCs/>
                <w:color w:val="000000"/>
                <w:szCs w:val="20"/>
                <w:lang w:val="sl-SI" w:eastAsia="sl-SI"/>
              </w:rPr>
            </w:pPr>
            <w:r w:rsidRPr="006D1761">
              <w:rPr>
                <w:rFonts w:cs="Arial"/>
                <w:b/>
                <w:bCs/>
                <w:color w:val="000000"/>
                <w:szCs w:val="20"/>
                <w:lang w:val="sl-SI" w:eastAsia="sl-SI"/>
              </w:rPr>
              <w:t>Kategorija/leto</w:t>
            </w:r>
          </w:p>
        </w:tc>
        <w:tc>
          <w:tcPr>
            <w:tcW w:w="1157"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14:paraId="1750989C" w14:textId="11D31631" w:rsidR="00F369DF" w:rsidRPr="006D1761" w:rsidRDefault="00F369DF" w:rsidP="00D33EEC">
            <w:pPr>
              <w:spacing w:line="240" w:lineRule="auto"/>
              <w:jc w:val="center"/>
              <w:rPr>
                <w:rFonts w:cs="Arial"/>
                <w:b/>
                <w:bCs/>
                <w:color w:val="000000"/>
                <w:szCs w:val="20"/>
                <w:lang w:val="sl-SI" w:eastAsia="sl-SI"/>
              </w:rPr>
            </w:pPr>
            <w:r w:rsidRPr="006D1761">
              <w:rPr>
                <w:rFonts w:cs="Arial"/>
                <w:b/>
                <w:bCs/>
                <w:color w:val="000000"/>
                <w:szCs w:val="20"/>
                <w:lang w:val="sl-SI"/>
              </w:rPr>
              <w:t>2024</w:t>
            </w:r>
          </w:p>
        </w:tc>
        <w:tc>
          <w:tcPr>
            <w:tcW w:w="1301"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14:paraId="09FB4A5A" w14:textId="1A058FD5" w:rsidR="00F369DF" w:rsidRPr="006D1761" w:rsidRDefault="00F369DF" w:rsidP="00D33EEC">
            <w:pPr>
              <w:spacing w:line="240" w:lineRule="auto"/>
              <w:jc w:val="center"/>
              <w:rPr>
                <w:rFonts w:cs="Arial"/>
                <w:b/>
                <w:bCs/>
                <w:color w:val="000000"/>
                <w:szCs w:val="20"/>
                <w:lang w:val="sl-SI" w:eastAsia="sl-SI"/>
              </w:rPr>
            </w:pPr>
            <w:r w:rsidRPr="006D1761">
              <w:rPr>
                <w:rFonts w:cs="Arial"/>
                <w:b/>
                <w:bCs/>
                <w:color w:val="000000"/>
                <w:szCs w:val="20"/>
                <w:lang w:val="sl-SI" w:eastAsia="sl-SI"/>
              </w:rPr>
              <w:t>2025</w:t>
            </w:r>
          </w:p>
        </w:tc>
        <w:tc>
          <w:tcPr>
            <w:tcW w:w="1235"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14:paraId="08602296" w14:textId="1996BB10" w:rsidR="00F369DF" w:rsidRPr="006D1761" w:rsidRDefault="00F369DF" w:rsidP="00D33EEC">
            <w:pPr>
              <w:spacing w:line="240" w:lineRule="auto"/>
              <w:jc w:val="center"/>
              <w:rPr>
                <w:rFonts w:cs="Arial"/>
                <w:b/>
                <w:bCs/>
                <w:color w:val="000000"/>
                <w:szCs w:val="20"/>
                <w:lang w:val="sl-SI" w:eastAsia="sl-SI"/>
              </w:rPr>
            </w:pPr>
            <w:r w:rsidRPr="006D1761">
              <w:rPr>
                <w:rFonts w:cs="Arial"/>
                <w:b/>
                <w:bCs/>
                <w:color w:val="000000"/>
                <w:szCs w:val="20"/>
                <w:lang w:val="sl-SI"/>
              </w:rPr>
              <w:t>2026</w:t>
            </w:r>
          </w:p>
        </w:tc>
        <w:tc>
          <w:tcPr>
            <w:tcW w:w="1301" w:type="dxa"/>
            <w:tcBorders>
              <w:top w:val="single" w:sz="4" w:space="0" w:color="FFFFFF"/>
              <w:left w:val="single" w:sz="4" w:space="0" w:color="FFFFFF"/>
              <w:bottom w:val="single" w:sz="4" w:space="0" w:color="FFFFFF"/>
              <w:right w:val="nil"/>
            </w:tcBorders>
            <w:shd w:val="clear" w:color="B4C6E7" w:fill="B4C6E7"/>
            <w:noWrap/>
            <w:vAlign w:val="center"/>
            <w:hideMark/>
          </w:tcPr>
          <w:p w14:paraId="6B1B7755" w14:textId="04363755" w:rsidR="00F369DF" w:rsidRPr="006D1761" w:rsidRDefault="00F369DF" w:rsidP="00D33EEC">
            <w:pPr>
              <w:spacing w:line="240" w:lineRule="auto"/>
              <w:jc w:val="center"/>
              <w:rPr>
                <w:rFonts w:cs="Arial"/>
                <w:b/>
                <w:bCs/>
                <w:color w:val="000000"/>
                <w:szCs w:val="20"/>
                <w:lang w:val="sl-SI" w:eastAsia="sl-SI"/>
              </w:rPr>
            </w:pPr>
            <w:r w:rsidRPr="006D1761">
              <w:rPr>
                <w:rFonts w:cs="Arial"/>
                <w:b/>
                <w:bCs/>
                <w:color w:val="000000"/>
                <w:szCs w:val="20"/>
                <w:lang w:val="sl-SI"/>
              </w:rPr>
              <w:t>2027</w:t>
            </w:r>
          </w:p>
        </w:tc>
      </w:tr>
      <w:tr w:rsidR="00F369DF" w:rsidRPr="006D1761" w14:paraId="3EFEEF03" w14:textId="77777777" w:rsidTr="00221B5E">
        <w:trPr>
          <w:trHeight w:val="300"/>
        </w:trPr>
        <w:tc>
          <w:tcPr>
            <w:tcW w:w="473" w:type="dxa"/>
            <w:tcBorders>
              <w:top w:val="single" w:sz="4" w:space="0" w:color="FFFFFF"/>
              <w:left w:val="nil"/>
              <w:bottom w:val="single" w:sz="4" w:space="0" w:color="FFFFFF"/>
              <w:right w:val="single" w:sz="4" w:space="0" w:color="FFFFFF"/>
            </w:tcBorders>
            <w:shd w:val="clear" w:color="D9E1F2" w:fill="D9E1F2"/>
            <w:noWrap/>
            <w:vAlign w:val="center"/>
            <w:hideMark/>
          </w:tcPr>
          <w:p w14:paraId="6ACC92DD" w14:textId="77777777" w:rsidR="00F369DF" w:rsidRPr="006D1761" w:rsidRDefault="00F369DF" w:rsidP="00D33EEC">
            <w:pPr>
              <w:spacing w:line="240" w:lineRule="auto"/>
              <w:jc w:val="right"/>
              <w:rPr>
                <w:rFonts w:cs="Arial"/>
                <w:color w:val="000000"/>
                <w:szCs w:val="20"/>
                <w:lang w:val="sl-SI" w:eastAsia="sl-SI"/>
              </w:rPr>
            </w:pPr>
            <w:r w:rsidRPr="006D1761">
              <w:rPr>
                <w:rFonts w:cs="Arial"/>
                <w:color w:val="000000"/>
                <w:szCs w:val="20"/>
                <w:lang w:val="sl-SI" w:eastAsia="sl-SI"/>
              </w:rPr>
              <w:t>1.</w:t>
            </w:r>
          </w:p>
        </w:tc>
        <w:tc>
          <w:tcPr>
            <w:tcW w:w="3389"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14:paraId="452B166E" w14:textId="77777777" w:rsidR="00F369DF" w:rsidRPr="006D1761" w:rsidRDefault="00F369DF" w:rsidP="00D33EEC">
            <w:pPr>
              <w:spacing w:line="240" w:lineRule="auto"/>
              <w:rPr>
                <w:rFonts w:cs="Arial"/>
                <w:color w:val="000000"/>
                <w:szCs w:val="20"/>
                <w:lang w:val="sl-SI" w:eastAsia="sl-SI"/>
              </w:rPr>
            </w:pPr>
            <w:r w:rsidRPr="006D1761">
              <w:rPr>
                <w:rFonts w:cs="Arial"/>
                <w:color w:val="000000"/>
                <w:szCs w:val="20"/>
                <w:lang w:val="sl-SI" w:eastAsia="sl-SI"/>
              </w:rPr>
              <w:t>Število zaposlitev kumulativno</w:t>
            </w:r>
          </w:p>
        </w:tc>
        <w:tc>
          <w:tcPr>
            <w:tcW w:w="1157"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14:paraId="21085467" w14:textId="01466D9F" w:rsidR="00F369DF" w:rsidRPr="006D1761" w:rsidRDefault="00F369DF" w:rsidP="00D33EEC">
            <w:pPr>
              <w:spacing w:line="240" w:lineRule="auto"/>
              <w:jc w:val="right"/>
              <w:rPr>
                <w:rFonts w:cs="Arial"/>
                <w:color w:val="000000"/>
                <w:szCs w:val="20"/>
                <w:lang w:val="sl-SI" w:eastAsia="sl-SI"/>
              </w:rPr>
            </w:pPr>
          </w:p>
        </w:tc>
        <w:tc>
          <w:tcPr>
            <w:tcW w:w="1301"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14:paraId="579AB01C" w14:textId="05E826C3" w:rsidR="00F369DF" w:rsidRPr="006D1761" w:rsidRDefault="00F369DF" w:rsidP="00D33EEC">
            <w:pPr>
              <w:spacing w:line="240" w:lineRule="auto"/>
              <w:jc w:val="right"/>
              <w:rPr>
                <w:rFonts w:cs="Arial"/>
                <w:color w:val="000000"/>
                <w:szCs w:val="20"/>
                <w:lang w:val="sl-SI"/>
              </w:rPr>
            </w:pPr>
          </w:p>
        </w:tc>
        <w:tc>
          <w:tcPr>
            <w:tcW w:w="1235"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14:paraId="646300F4" w14:textId="3623AA95" w:rsidR="00F369DF" w:rsidRPr="006D1761" w:rsidRDefault="00F369DF" w:rsidP="00D33EEC">
            <w:pPr>
              <w:spacing w:line="240" w:lineRule="auto"/>
              <w:jc w:val="right"/>
              <w:rPr>
                <w:rFonts w:cs="Arial"/>
                <w:color w:val="000000"/>
                <w:szCs w:val="20"/>
                <w:lang w:val="sl-SI"/>
              </w:rPr>
            </w:pPr>
          </w:p>
        </w:tc>
        <w:tc>
          <w:tcPr>
            <w:tcW w:w="1301" w:type="dxa"/>
            <w:tcBorders>
              <w:top w:val="single" w:sz="4" w:space="0" w:color="FFFFFF"/>
              <w:left w:val="single" w:sz="4" w:space="0" w:color="FFFFFF"/>
              <w:bottom w:val="single" w:sz="4" w:space="0" w:color="FFFFFF"/>
              <w:right w:val="nil"/>
            </w:tcBorders>
            <w:shd w:val="clear" w:color="D9E1F2" w:fill="D9E1F2"/>
            <w:noWrap/>
            <w:vAlign w:val="center"/>
          </w:tcPr>
          <w:p w14:paraId="4528883A" w14:textId="1153EDC2" w:rsidR="00F369DF" w:rsidRPr="006D1761" w:rsidRDefault="00F369DF" w:rsidP="00D33EEC">
            <w:pPr>
              <w:spacing w:line="240" w:lineRule="auto"/>
              <w:jc w:val="right"/>
              <w:rPr>
                <w:rFonts w:cs="Arial"/>
                <w:color w:val="000000"/>
                <w:szCs w:val="20"/>
                <w:lang w:val="sl-SI"/>
              </w:rPr>
            </w:pPr>
          </w:p>
        </w:tc>
      </w:tr>
      <w:tr w:rsidR="00F369DF" w:rsidRPr="00854303" w14:paraId="3826A156" w14:textId="77777777" w:rsidTr="00221B5E">
        <w:trPr>
          <w:trHeight w:val="300"/>
        </w:trPr>
        <w:tc>
          <w:tcPr>
            <w:tcW w:w="473" w:type="dxa"/>
            <w:tcBorders>
              <w:top w:val="single" w:sz="4" w:space="0" w:color="FFFFFF"/>
              <w:left w:val="nil"/>
              <w:bottom w:val="single" w:sz="4" w:space="0" w:color="FFFFFF"/>
              <w:right w:val="single" w:sz="4" w:space="0" w:color="FFFFFF"/>
            </w:tcBorders>
            <w:shd w:val="clear" w:color="B4C6E7" w:fill="B4C6E7"/>
            <w:noWrap/>
            <w:vAlign w:val="center"/>
            <w:hideMark/>
          </w:tcPr>
          <w:p w14:paraId="55242D0A" w14:textId="77777777" w:rsidR="00F369DF" w:rsidRPr="006D1761" w:rsidRDefault="00F369DF" w:rsidP="00D33EEC">
            <w:pPr>
              <w:spacing w:line="240" w:lineRule="auto"/>
              <w:jc w:val="right"/>
              <w:rPr>
                <w:rFonts w:cs="Arial"/>
                <w:color w:val="000000"/>
                <w:szCs w:val="20"/>
                <w:lang w:val="sl-SI" w:eastAsia="sl-SI"/>
              </w:rPr>
            </w:pPr>
            <w:r w:rsidRPr="006D1761">
              <w:rPr>
                <w:rFonts w:cs="Arial"/>
                <w:color w:val="000000"/>
                <w:szCs w:val="20"/>
                <w:lang w:val="sl-SI" w:eastAsia="sl-SI"/>
              </w:rPr>
              <w:t>2.</w:t>
            </w:r>
          </w:p>
        </w:tc>
        <w:tc>
          <w:tcPr>
            <w:tcW w:w="3389"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14:paraId="67E0C880" w14:textId="1DFDE9A2" w:rsidR="00F369DF" w:rsidRPr="006D1761" w:rsidRDefault="00582B53" w:rsidP="00D33EEC">
            <w:pPr>
              <w:spacing w:line="240" w:lineRule="auto"/>
              <w:rPr>
                <w:rFonts w:cs="Arial"/>
                <w:color w:val="000000"/>
                <w:szCs w:val="20"/>
                <w:lang w:val="sl-SI" w:eastAsia="sl-SI"/>
              </w:rPr>
            </w:pPr>
            <w:r>
              <w:rPr>
                <w:rFonts w:cs="Arial"/>
                <w:color w:val="000000"/>
                <w:szCs w:val="20"/>
                <w:lang w:val="sl-SI" w:eastAsia="sl-SI"/>
              </w:rPr>
              <w:t>Plače</w:t>
            </w:r>
          </w:p>
        </w:tc>
        <w:tc>
          <w:tcPr>
            <w:tcW w:w="1157" w:type="dxa"/>
            <w:tcBorders>
              <w:top w:val="single" w:sz="4" w:space="0" w:color="FFFFFF"/>
              <w:left w:val="single" w:sz="4" w:space="0" w:color="FFFFFF"/>
              <w:bottom w:val="single" w:sz="4" w:space="0" w:color="FFFFFF"/>
              <w:right w:val="single" w:sz="4" w:space="0" w:color="FFFFFF"/>
            </w:tcBorders>
            <w:shd w:val="clear" w:color="B4C6E7" w:fill="B4C6E7"/>
            <w:noWrap/>
            <w:vAlign w:val="center"/>
          </w:tcPr>
          <w:p w14:paraId="3578B79C" w14:textId="5BD4D49C" w:rsidR="00F369DF" w:rsidRPr="006D1761" w:rsidRDefault="00F369DF" w:rsidP="00D33EEC">
            <w:pPr>
              <w:spacing w:line="240" w:lineRule="auto"/>
              <w:jc w:val="right"/>
              <w:rPr>
                <w:rFonts w:cs="Arial"/>
                <w:color w:val="000000"/>
                <w:szCs w:val="20"/>
                <w:lang w:val="sl-SI" w:eastAsia="sl-SI"/>
              </w:rPr>
            </w:pPr>
          </w:p>
        </w:tc>
        <w:tc>
          <w:tcPr>
            <w:tcW w:w="1301" w:type="dxa"/>
            <w:tcBorders>
              <w:top w:val="single" w:sz="4" w:space="0" w:color="FFFFFF"/>
              <w:left w:val="single" w:sz="4" w:space="0" w:color="FFFFFF"/>
              <w:bottom w:val="single" w:sz="4" w:space="0" w:color="FFFFFF"/>
              <w:right w:val="single" w:sz="4" w:space="0" w:color="FFFFFF"/>
            </w:tcBorders>
            <w:shd w:val="clear" w:color="B4C6E7" w:fill="B4C6E7"/>
            <w:noWrap/>
            <w:vAlign w:val="center"/>
          </w:tcPr>
          <w:p w14:paraId="73289EBB" w14:textId="0EED5A2A" w:rsidR="00F369DF" w:rsidRPr="006D1761" w:rsidRDefault="00F369DF" w:rsidP="00D33EEC">
            <w:pPr>
              <w:spacing w:line="240" w:lineRule="auto"/>
              <w:jc w:val="right"/>
              <w:rPr>
                <w:rFonts w:cs="Arial"/>
                <w:color w:val="000000"/>
                <w:szCs w:val="20"/>
                <w:lang w:val="sl-SI"/>
              </w:rPr>
            </w:pPr>
          </w:p>
        </w:tc>
        <w:tc>
          <w:tcPr>
            <w:tcW w:w="1235" w:type="dxa"/>
            <w:tcBorders>
              <w:top w:val="single" w:sz="4" w:space="0" w:color="FFFFFF"/>
              <w:left w:val="single" w:sz="4" w:space="0" w:color="FFFFFF"/>
              <w:bottom w:val="single" w:sz="4" w:space="0" w:color="FFFFFF"/>
              <w:right w:val="single" w:sz="4" w:space="0" w:color="FFFFFF"/>
            </w:tcBorders>
            <w:shd w:val="clear" w:color="B4C6E7" w:fill="B4C6E7"/>
            <w:noWrap/>
            <w:vAlign w:val="center"/>
          </w:tcPr>
          <w:p w14:paraId="785E5B93" w14:textId="42A8A98A" w:rsidR="00F369DF" w:rsidRPr="006D1761" w:rsidRDefault="00F369DF" w:rsidP="00D33EEC">
            <w:pPr>
              <w:spacing w:line="240" w:lineRule="auto"/>
              <w:jc w:val="right"/>
              <w:rPr>
                <w:rFonts w:cs="Arial"/>
                <w:color w:val="000000"/>
                <w:szCs w:val="20"/>
                <w:lang w:val="sl-SI"/>
              </w:rPr>
            </w:pPr>
          </w:p>
        </w:tc>
        <w:tc>
          <w:tcPr>
            <w:tcW w:w="1301" w:type="dxa"/>
            <w:tcBorders>
              <w:top w:val="single" w:sz="4" w:space="0" w:color="FFFFFF"/>
              <w:left w:val="single" w:sz="4" w:space="0" w:color="FFFFFF"/>
              <w:bottom w:val="single" w:sz="4" w:space="0" w:color="FFFFFF"/>
              <w:right w:val="nil"/>
            </w:tcBorders>
            <w:shd w:val="clear" w:color="B4C6E7" w:fill="B4C6E7"/>
            <w:noWrap/>
            <w:vAlign w:val="center"/>
          </w:tcPr>
          <w:p w14:paraId="56EC091E" w14:textId="5B7CFA62" w:rsidR="00F369DF" w:rsidRPr="006D1761" w:rsidRDefault="00F369DF" w:rsidP="00D33EEC">
            <w:pPr>
              <w:spacing w:line="240" w:lineRule="auto"/>
              <w:jc w:val="right"/>
              <w:rPr>
                <w:rFonts w:cs="Arial"/>
                <w:color w:val="000000"/>
                <w:szCs w:val="20"/>
                <w:lang w:val="sl-SI"/>
              </w:rPr>
            </w:pPr>
          </w:p>
        </w:tc>
      </w:tr>
      <w:tr w:rsidR="00F369DF" w:rsidRPr="00854303" w14:paraId="1638DD4C" w14:textId="77777777" w:rsidTr="00221B5E">
        <w:trPr>
          <w:trHeight w:val="300"/>
        </w:trPr>
        <w:tc>
          <w:tcPr>
            <w:tcW w:w="473" w:type="dxa"/>
            <w:tcBorders>
              <w:top w:val="single" w:sz="4" w:space="0" w:color="FFFFFF"/>
              <w:left w:val="nil"/>
              <w:bottom w:val="single" w:sz="4" w:space="0" w:color="FFFFFF"/>
              <w:right w:val="single" w:sz="4" w:space="0" w:color="FFFFFF"/>
            </w:tcBorders>
            <w:shd w:val="clear" w:color="D9E1F2" w:fill="D9E1F2"/>
            <w:noWrap/>
            <w:vAlign w:val="center"/>
            <w:hideMark/>
          </w:tcPr>
          <w:p w14:paraId="3D082720" w14:textId="77777777" w:rsidR="00F369DF" w:rsidRPr="006D1761" w:rsidRDefault="00F369DF" w:rsidP="00D33EEC">
            <w:pPr>
              <w:spacing w:line="240" w:lineRule="auto"/>
              <w:jc w:val="right"/>
              <w:rPr>
                <w:rFonts w:cs="Arial"/>
                <w:color w:val="000000"/>
                <w:szCs w:val="20"/>
                <w:lang w:val="sl-SI" w:eastAsia="sl-SI"/>
              </w:rPr>
            </w:pPr>
            <w:r w:rsidRPr="006D1761">
              <w:rPr>
                <w:rFonts w:cs="Arial"/>
                <w:color w:val="000000"/>
                <w:szCs w:val="20"/>
                <w:lang w:val="sl-SI" w:eastAsia="sl-SI"/>
              </w:rPr>
              <w:t>3.</w:t>
            </w:r>
          </w:p>
        </w:tc>
        <w:tc>
          <w:tcPr>
            <w:tcW w:w="3389"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14:paraId="7CD1CA04" w14:textId="7FF6475B" w:rsidR="00F369DF" w:rsidRPr="006D1761" w:rsidRDefault="00582B53" w:rsidP="00D33EEC">
            <w:pPr>
              <w:spacing w:line="240" w:lineRule="auto"/>
              <w:rPr>
                <w:rFonts w:cs="Arial"/>
                <w:color w:val="000000"/>
                <w:szCs w:val="20"/>
                <w:lang w:val="sl-SI" w:eastAsia="sl-SI"/>
              </w:rPr>
            </w:pPr>
            <w:r>
              <w:rPr>
                <w:rFonts w:cs="Arial"/>
                <w:color w:val="000000"/>
                <w:szCs w:val="20"/>
                <w:lang w:val="sl-SI" w:eastAsia="sl-SI"/>
              </w:rPr>
              <w:t>Materialni stroški</w:t>
            </w:r>
          </w:p>
        </w:tc>
        <w:tc>
          <w:tcPr>
            <w:tcW w:w="1157"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14:paraId="17400207" w14:textId="649E66FA" w:rsidR="00F369DF" w:rsidRPr="006D1761" w:rsidRDefault="00F369DF" w:rsidP="00D33EEC">
            <w:pPr>
              <w:spacing w:line="240" w:lineRule="auto"/>
              <w:jc w:val="right"/>
              <w:rPr>
                <w:rFonts w:cs="Arial"/>
                <w:color w:val="000000"/>
                <w:szCs w:val="20"/>
                <w:lang w:val="sl-SI" w:eastAsia="sl-SI"/>
              </w:rPr>
            </w:pPr>
          </w:p>
        </w:tc>
        <w:tc>
          <w:tcPr>
            <w:tcW w:w="1301"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14:paraId="0D9A82B7" w14:textId="2BE17BCF" w:rsidR="00F369DF" w:rsidRPr="006D1761" w:rsidRDefault="00F369DF" w:rsidP="00D33EEC">
            <w:pPr>
              <w:spacing w:line="240" w:lineRule="auto"/>
              <w:jc w:val="right"/>
              <w:rPr>
                <w:rFonts w:cs="Arial"/>
                <w:color w:val="000000"/>
                <w:szCs w:val="20"/>
                <w:lang w:val="sl-SI"/>
              </w:rPr>
            </w:pPr>
          </w:p>
        </w:tc>
        <w:tc>
          <w:tcPr>
            <w:tcW w:w="1235"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14:paraId="7B95547C" w14:textId="045778C3" w:rsidR="00F369DF" w:rsidRPr="006D1761" w:rsidRDefault="00F369DF" w:rsidP="00D33EEC">
            <w:pPr>
              <w:spacing w:line="240" w:lineRule="auto"/>
              <w:jc w:val="right"/>
              <w:rPr>
                <w:rFonts w:cs="Arial"/>
                <w:color w:val="000000"/>
                <w:szCs w:val="20"/>
                <w:lang w:val="sl-SI"/>
              </w:rPr>
            </w:pPr>
          </w:p>
        </w:tc>
        <w:tc>
          <w:tcPr>
            <w:tcW w:w="1301" w:type="dxa"/>
            <w:tcBorders>
              <w:top w:val="single" w:sz="4" w:space="0" w:color="FFFFFF"/>
              <w:left w:val="single" w:sz="4" w:space="0" w:color="FFFFFF"/>
              <w:bottom w:val="single" w:sz="4" w:space="0" w:color="FFFFFF"/>
              <w:right w:val="nil"/>
            </w:tcBorders>
            <w:shd w:val="clear" w:color="D9E1F2" w:fill="D9E1F2"/>
            <w:noWrap/>
            <w:vAlign w:val="center"/>
          </w:tcPr>
          <w:p w14:paraId="2AD7071E" w14:textId="2AC08C09" w:rsidR="00F369DF" w:rsidRPr="006D1761" w:rsidRDefault="00F369DF" w:rsidP="00D33EEC">
            <w:pPr>
              <w:spacing w:line="240" w:lineRule="auto"/>
              <w:jc w:val="right"/>
              <w:rPr>
                <w:rFonts w:cs="Arial"/>
                <w:color w:val="000000"/>
                <w:szCs w:val="20"/>
                <w:lang w:val="sl-SI"/>
              </w:rPr>
            </w:pPr>
          </w:p>
        </w:tc>
      </w:tr>
      <w:tr w:rsidR="00F369DF" w:rsidRPr="006D1761" w14:paraId="271E1786" w14:textId="77777777" w:rsidTr="00221B5E">
        <w:trPr>
          <w:trHeight w:val="300"/>
        </w:trPr>
        <w:tc>
          <w:tcPr>
            <w:tcW w:w="473" w:type="dxa"/>
            <w:tcBorders>
              <w:top w:val="single" w:sz="4" w:space="0" w:color="FFFFFF"/>
              <w:left w:val="nil"/>
              <w:bottom w:val="single" w:sz="4" w:space="0" w:color="FFFFFF"/>
              <w:right w:val="single" w:sz="4" w:space="0" w:color="FFFFFF"/>
            </w:tcBorders>
            <w:shd w:val="clear" w:color="B4C6E7" w:fill="B4C6E7"/>
            <w:noWrap/>
            <w:vAlign w:val="center"/>
            <w:hideMark/>
          </w:tcPr>
          <w:p w14:paraId="1E8E6675" w14:textId="77777777" w:rsidR="00F369DF" w:rsidRPr="006D1761" w:rsidRDefault="00F369DF" w:rsidP="00D33EEC">
            <w:pPr>
              <w:spacing w:line="240" w:lineRule="auto"/>
              <w:jc w:val="right"/>
              <w:rPr>
                <w:rFonts w:cs="Arial"/>
                <w:color w:val="000000"/>
                <w:szCs w:val="20"/>
                <w:lang w:val="sl-SI" w:eastAsia="sl-SI"/>
              </w:rPr>
            </w:pPr>
            <w:r w:rsidRPr="006D1761">
              <w:rPr>
                <w:rFonts w:cs="Arial"/>
                <w:color w:val="000000"/>
                <w:szCs w:val="20"/>
                <w:lang w:val="sl-SI" w:eastAsia="sl-SI"/>
              </w:rPr>
              <w:t>4.</w:t>
            </w:r>
          </w:p>
        </w:tc>
        <w:tc>
          <w:tcPr>
            <w:tcW w:w="3389"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14:paraId="57FD52AC" w14:textId="55A73037" w:rsidR="00F369DF" w:rsidRPr="006D1761" w:rsidRDefault="00582B53" w:rsidP="00D33EEC">
            <w:pPr>
              <w:spacing w:line="240" w:lineRule="auto"/>
              <w:rPr>
                <w:rFonts w:cs="Arial"/>
                <w:color w:val="000000"/>
                <w:szCs w:val="20"/>
                <w:lang w:val="sl-SI" w:eastAsia="sl-SI"/>
              </w:rPr>
            </w:pPr>
            <w:r w:rsidRPr="00582B53">
              <w:rPr>
                <w:rFonts w:cs="Arial"/>
                <w:color w:val="000000"/>
                <w:szCs w:val="20"/>
                <w:lang w:val="sl-SI" w:eastAsia="sl-SI"/>
              </w:rPr>
              <w:t>Investicije in investicijsko vzdrževanje</w:t>
            </w:r>
          </w:p>
        </w:tc>
        <w:tc>
          <w:tcPr>
            <w:tcW w:w="1157" w:type="dxa"/>
            <w:tcBorders>
              <w:top w:val="single" w:sz="4" w:space="0" w:color="FFFFFF"/>
              <w:left w:val="single" w:sz="4" w:space="0" w:color="FFFFFF"/>
              <w:bottom w:val="single" w:sz="4" w:space="0" w:color="FFFFFF"/>
              <w:right w:val="single" w:sz="4" w:space="0" w:color="FFFFFF"/>
            </w:tcBorders>
            <w:shd w:val="clear" w:color="B4C6E7" w:fill="B4C6E7"/>
            <w:noWrap/>
            <w:vAlign w:val="center"/>
          </w:tcPr>
          <w:p w14:paraId="2C5964DB" w14:textId="37C8FBC7" w:rsidR="00F369DF" w:rsidRPr="006D1761" w:rsidRDefault="00F369DF" w:rsidP="00D33EEC">
            <w:pPr>
              <w:spacing w:line="240" w:lineRule="auto"/>
              <w:jc w:val="right"/>
              <w:rPr>
                <w:rFonts w:cs="Arial"/>
                <w:color w:val="000000"/>
                <w:szCs w:val="20"/>
                <w:lang w:val="sl-SI"/>
              </w:rPr>
            </w:pPr>
          </w:p>
        </w:tc>
        <w:tc>
          <w:tcPr>
            <w:tcW w:w="1301" w:type="dxa"/>
            <w:tcBorders>
              <w:top w:val="single" w:sz="4" w:space="0" w:color="FFFFFF"/>
              <w:left w:val="single" w:sz="4" w:space="0" w:color="FFFFFF"/>
              <w:bottom w:val="single" w:sz="4" w:space="0" w:color="FFFFFF"/>
              <w:right w:val="single" w:sz="4" w:space="0" w:color="FFFFFF"/>
            </w:tcBorders>
            <w:shd w:val="clear" w:color="B4C6E7" w:fill="B4C6E7"/>
            <w:noWrap/>
            <w:vAlign w:val="center"/>
          </w:tcPr>
          <w:p w14:paraId="7C7EED43" w14:textId="346FD836" w:rsidR="00F369DF" w:rsidRPr="006D1761" w:rsidRDefault="00F369DF" w:rsidP="00D33EEC">
            <w:pPr>
              <w:spacing w:line="240" w:lineRule="auto"/>
              <w:jc w:val="right"/>
              <w:rPr>
                <w:rFonts w:cs="Arial"/>
                <w:color w:val="000000"/>
                <w:szCs w:val="20"/>
                <w:lang w:val="sl-SI"/>
              </w:rPr>
            </w:pPr>
          </w:p>
        </w:tc>
        <w:tc>
          <w:tcPr>
            <w:tcW w:w="1235" w:type="dxa"/>
            <w:tcBorders>
              <w:top w:val="single" w:sz="4" w:space="0" w:color="FFFFFF"/>
              <w:left w:val="single" w:sz="4" w:space="0" w:color="FFFFFF"/>
              <w:bottom w:val="single" w:sz="4" w:space="0" w:color="FFFFFF"/>
              <w:right w:val="single" w:sz="4" w:space="0" w:color="FFFFFF"/>
            </w:tcBorders>
            <w:shd w:val="clear" w:color="B4C6E7" w:fill="B4C6E7"/>
            <w:noWrap/>
            <w:vAlign w:val="center"/>
          </w:tcPr>
          <w:p w14:paraId="2C611D06" w14:textId="41C65E11" w:rsidR="00F369DF" w:rsidRPr="006D1761" w:rsidRDefault="00F369DF" w:rsidP="00D33EEC">
            <w:pPr>
              <w:spacing w:line="240" w:lineRule="auto"/>
              <w:jc w:val="right"/>
              <w:rPr>
                <w:rFonts w:cs="Arial"/>
                <w:color w:val="000000"/>
                <w:szCs w:val="20"/>
                <w:lang w:val="sl-SI"/>
              </w:rPr>
            </w:pPr>
          </w:p>
        </w:tc>
        <w:tc>
          <w:tcPr>
            <w:tcW w:w="1301" w:type="dxa"/>
            <w:tcBorders>
              <w:top w:val="single" w:sz="4" w:space="0" w:color="FFFFFF"/>
              <w:left w:val="single" w:sz="4" w:space="0" w:color="FFFFFF"/>
              <w:bottom w:val="single" w:sz="4" w:space="0" w:color="FFFFFF"/>
              <w:right w:val="nil"/>
            </w:tcBorders>
            <w:shd w:val="clear" w:color="B4C6E7" w:fill="B4C6E7"/>
            <w:noWrap/>
            <w:vAlign w:val="center"/>
          </w:tcPr>
          <w:p w14:paraId="24A3486C" w14:textId="721392D5" w:rsidR="00F369DF" w:rsidRPr="006D1761" w:rsidRDefault="00F369DF" w:rsidP="00D33EEC">
            <w:pPr>
              <w:spacing w:line="240" w:lineRule="auto"/>
              <w:jc w:val="right"/>
              <w:rPr>
                <w:rFonts w:cs="Arial"/>
                <w:color w:val="000000"/>
                <w:szCs w:val="20"/>
                <w:lang w:val="sl-SI"/>
              </w:rPr>
            </w:pPr>
          </w:p>
        </w:tc>
      </w:tr>
      <w:tr w:rsidR="00F369DF" w:rsidRPr="00854303" w14:paraId="7C7A0A76" w14:textId="77777777" w:rsidTr="00221B5E">
        <w:trPr>
          <w:trHeight w:val="300"/>
        </w:trPr>
        <w:tc>
          <w:tcPr>
            <w:tcW w:w="473" w:type="dxa"/>
            <w:tcBorders>
              <w:top w:val="single" w:sz="4" w:space="0" w:color="FFFFFF"/>
              <w:left w:val="nil"/>
              <w:bottom w:val="single" w:sz="4" w:space="0" w:color="FFFFFF"/>
              <w:right w:val="single" w:sz="4" w:space="0" w:color="FFFFFF"/>
            </w:tcBorders>
            <w:shd w:val="clear" w:color="D9E1F2" w:fill="D9E1F2"/>
            <w:noWrap/>
            <w:vAlign w:val="center"/>
            <w:hideMark/>
          </w:tcPr>
          <w:p w14:paraId="487943AD" w14:textId="77777777" w:rsidR="00F369DF" w:rsidRPr="006D1761" w:rsidRDefault="00F369DF" w:rsidP="00D33EEC">
            <w:pPr>
              <w:spacing w:line="240" w:lineRule="auto"/>
              <w:jc w:val="right"/>
              <w:rPr>
                <w:rFonts w:cs="Arial"/>
                <w:color w:val="000000"/>
                <w:szCs w:val="20"/>
                <w:lang w:val="sl-SI" w:eastAsia="sl-SI"/>
              </w:rPr>
            </w:pPr>
            <w:r w:rsidRPr="006D1761">
              <w:rPr>
                <w:rFonts w:cs="Arial"/>
                <w:color w:val="000000"/>
                <w:szCs w:val="20"/>
                <w:lang w:val="sl-SI" w:eastAsia="sl-SI"/>
              </w:rPr>
              <w:t>5.</w:t>
            </w:r>
          </w:p>
        </w:tc>
        <w:tc>
          <w:tcPr>
            <w:tcW w:w="3389"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14:paraId="6F260F13" w14:textId="2420AE1E" w:rsidR="00F369DF" w:rsidRPr="006D1761" w:rsidRDefault="00582B53" w:rsidP="00D33EEC">
            <w:pPr>
              <w:spacing w:line="240" w:lineRule="auto"/>
              <w:rPr>
                <w:rFonts w:cs="Arial"/>
                <w:color w:val="000000"/>
                <w:szCs w:val="20"/>
                <w:lang w:val="sl-SI" w:eastAsia="sl-SI"/>
              </w:rPr>
            </w:pPr>
            <w:r w:rsidRPr="00582B53">
              <w:rPr>
                <w:rFonts w:cs="Arial"/>
                <w:color w:val="000000"/>
                <w:szCs w:val="20"/>
                <w:lang w:val="sl-SI" w:eastAsia="sl-SI"/>
              </w:rPr>
              <w:t>Dvig ravni informacijske varnosti</w:t>
            </w:r>
          </w:p>
        </w:tc>
        <w:tc>
          <w:tcPr>
            <w:tcW w:w="1157"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14:paraId="221D33D4" w14:textId="73F4DB5A" w:rsidR="00F369DF" w:rsidRPr="006D1761" w:rsidRDefault="00F369DF" w:rsidP="00D33EEC">
            <w:pPr>
              <w:spacing w:line="240" w:lineRule="auto"/>
              <w:jc w:val="right"/>
              <w:rPr>
                <w:rFonts w:cs="Arial"/>
                <w:color w:val="000000"/>
                <w:szCs w:val="20"/>
                <w:lang w:val="sl-SI" w:eastAsia="sl-SI"/>
              </w:rPr>
            </w:pPr>
          </w:p>
        </w:tc>
        <w:tc>
          <w:tcPr>
            <w:tcW w:w="1301"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14:paraId="555A2375" w14:textId="13901425" w:rsidR="00F369DF" w:rsidRPr="006D1761" w:rsidRDefault="00F369DF" w:rsidP="00D33EEC">
            <w:pPr>
              <w:spacing w:line="240" w:lineRule="auto"/>
              <w:jc w:val="right"/>
              <w:rPr>
                <w:rFonts w:cs="Arial"/>
                <w:color w:val="000000"/>
                <w:szCs w:val="20"/>
                <w:lang w:val="sl-SI"/>
              </w:rPr>
            </w:pPr>
          </w:p>
        </w:tc>
        <w:tc>
          <w:tcPr>
            <w:tcW w:w="1235"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14:paraId="7E0F185E" w14:textId="19617A14" w:rsidR="00F369DF" w:rsidRPr="006D1761" w:rsidRDefault="00F369DF" w:rsidP="00D33EEC">
            <w:pPr>
              <w:spacing w:line="240" w:lineRule="auto"/>
              <w:jc w:val="right"/>
              <w:rPr>
                <w:rFonts w:cs="Arial"/>
                <w:color w:val="000000"/>
                <w:szCs w:val="20"/>
                <w:lang w:val="sl-SI"/>
              </w:rPr>
            </w:pPr>
          </w:p>
        </w:tc>
        <w:tc>
          <w:tcPr>
            <w:tcW w:w="1301" w:type="dxa"/>
            <w:tcBorders>
              <w:top w:val="single" w:sz="4" w:space="0" w:color="FFFFFF"/>
              <w:left w:val="single" w:sz="4" w:space="0" w:color="FFFFFF"/>
              <w:bottom w:val="single" w:sz="4" w:space="0" w:color="FFFFFF"/>
              <w:right w:val="nil"/>
            </w:tcBorders>
            <w:shd w:val="clear" w:color="D9E1F2" w:fill="D9E1F2"/>
            <w:noWrap/>
            <w:vAlign w:val="center"/>
          </w:tcPr>
          <w:p w14:paraId="2426B853" w14:textId="4B95124E" w:rsidR="00F369DF" w:rsidRPr="006D1761" w:rsidRDefault="00F369DF" w:rsidP="00D33EEC">
            <w:pPr>
              <w:spacing w:line="240" w:lineRule="auto"/>
              <w:jc w:val="right"/>
              <w:rPr>
                <w:rFonts w:cs="Arial"/>
                <w:color w:val="000000"/>
                <w:szCs w:val="20"/>
                <w:lang w:val="sl-SI"/>
              </w:rPr>
            </w:pPr>
          </w:p>
        </w:tc>
      </w:tr>
      <w:tr w:rsidR="00F369DF" w:rsidRPr="006D1761" w14:paraId="62D916C1" w14:textId="77777777" w:rsidTr="00D33EEC">
        <w:trPr>
          <w:trHeight w:val="300"/>
        </w:trPr>
        <w:tc>
          <w:tcPr>
            <w:tcW w:w="473" w:type="dxa"/>
            <w:tcBorders>
              <w:top w:val="single" w:sz="4" w:space="0" w:color="FFFFFF"/>
              <w:left w:val="nil"/>
              <w:bottom w:val="single" w:sz="4" w:space="0" w:color="FFFFFF"/>
              <w:right w:val="single" w:sz="4" w:space="0" w:color="FFFFFF"/>
            </w:tcBorders>
            <w:shd w:val="clear" w:color="B4C6E7" w:fill="B4C6E7"/>
            <w:noWrap/>
            <w:vAlign w:val="center"/>
          </w:tcPr>
          <w:p w14:paraId="70F0478D" w14:textId="77777777" w:rsidR="00F369DF" w:rsidRPr="006D1761" w:rsidRDefault="00F369DF" w:rsidP="00D33EEC">
            <w:pPr>
              <w:spacing w:line="240" w:lineRule="auto"/>
              <w:jc w:val="right"/>
              <w:rPr>
                <w:rFonts w:cs="Arial"/>
                <w:color w:val="000000"/>
                <w:szCs w:val="20"/>
                <w:lang w:val="sl-SI" w:eastAsia="sl-SI"/>
              </w:rPr>
            </w:pPr>
            <w:r w:rsidRPr="006D1761">
              <w:rPr>
                <w:rFonts w:cs="Arial"/>
                <w:color w:val="000000"/>
                <w:szCs w:val="20"/>
                <w:lang w:val="sl-SI" w:eastAsia="sl-SI"/>
              </w:rPr>
              <w:t>6.</w:t>
            </w:r>
          </w:p>
        </w:tc>
        <w:tc>
          <w:tcPr>
            <w:tcW w:w="3389" w:type="dxa"/>
            <w:tcBorders>
              <w:top w:val="single" w:sz="4" w:space="0" w:color="FFFFFF"/>
              <w:left w:val="single" w:sz="4" w:space="0" w:color="FFFFFF"/>
              <w:bottom w:val="single" w:sz="4" w:space="0" w:color="FFFFFF"/>
              <w:right w:val="single" w:sz="4" w:space="0" w:color="FFFFFF"/>
            </w:tcBorders>
            <w:shd w:val="clear" w:color="B4C6E7" w:fill="B4C6E7"/>
            <w:noWrap/>
            <w:vAlign w:val="center"/>
          </w:tcPr>
          <w:p w14:paraId="4CF5E1A3" w14:textId="77777777" w:rsidR="00F369DF" w:rsidRPr="006D1761" w:rsidRDefault="00F369DF" w:rsidP="00D33EEC">
            <w:pPr>
              <w:spacing w:line="240" w:lineRule="auto"/>
              <w:rPr>
                <w:rFonts w:cs="Arial"/>
                <w:color w:val="000000"/>
                <w:szCs w:val="20"/>
                <w:lang w:val="sl-SI" w:eastAsia="sl-SI"/>
              </w:rPr>
            </w:pPr>
            <w:r w:rsidRPr="006D1761">
              <w:rPr>
                <w:rFonts w:cs="Arial"/>
                <w:color w:val="000000"/>
                <w:szCs w:val="20"/>
                <w:lang w:val="sl-SI" w:eastAsia="sl-SI"/>
              </w:rPr>
              <w:t>Nakup/pridobitev prostorov</w:t>
            </w:r>
          </w:p>
        </w:tc>
        <w:tc>
          <w:tcPr>
            <w:tcW w:w="1157" w:type="dxa"/>
            <w:tcBorders>
              <w:top w:val="single" w:sz="4" w:space="0" w:color="FFFFFF"/>
              <w:left w:val="single" w:sz="4" w:space="0" w:color="FFFFFF"/>
              <w:bottom w:val="single" w:sz="4" w:space="0" w:color="FFFFFF"/>
              <w:right w:val="single" w:sz="4" w:space="0" w:color="FFFFFF"/>
            </w:tcBorders>
            <w:shd w:val="clear" w:color="B4C6E7" w:fill="B4C6E7"/>
            <w:noWrap/>
            <w:vAlign w:val="center"/>
          </w:tcPr>
          <w:p w14:paraId="0FDDF5F8" w14:textId="30EC074A" w:rsidR="00F369DF" w:rsidRPr="006D1761" w:rsidRDefault="00F369DF" w:rsidP="00D33EEC">
            <w:pPr>
              <w:spacing w:line="240" w:lineRule="auto"/>
              <w:jc w:val="right"/>
              <w:rPr>
                <w:rFonts w:cs="Arial"/>
                <w:color w:val="000000"/>
                <w:szCs w:val="20"/>
                <w:lang w:val="sl-SI" w:eastAsia="sl-SI"/>
              </w:rPr>
            </w:pPr>
          </w:p>
        </w:tc>
        <w:tc>
          <w:tcPr>
            <w:tcW w:w="1301" w:type="dxa"/>
            <w:tcBorders>
              <w:top w:val="single" w:sz="4" w:space="0" w:color="FFFFFF"/>
              <w:left w:val="single" w:sz="4" w:space="0" w:color="FFFFFF"/>
              <w:bottom w:val="single" w:sz="4" w:space="0" w:color="FFFFFF"/>
              <w:right w:val="single" w:sz="4" w:space="0" w:color="FFFFFF"/>
            </w:tcBorders>
            <w:shd w:val="clear" w:color="B4C6E7" w:fill="B4C6E7"/>
            <w:noWrap/>
            <w:vAlign w:val="center"/>
          </w:tcPr>
          <w:p w14:paraId="5131F712" w14:textId="69E06A43" w:rsidR="00F369DF" w:rsidRPr="006D1761" w:rsidRDefault="00F369DF" w:rsidP="00D33EEC">
            <w:pPr>
              <w:spacing w:line="240" w:lineRule="auto"/>
              <w:jc w:val="right"/>
              <w:rPr>
                <w:rFonts w:cs="Arial"/>
                <w:color w:val="000000"/>
                <w:szCs w:val="20"/>
                <w:lang w:val="sl-SI" w:eastAsia="sl-SI"/>
              </w:rPr>
            </w:pPr>
          </w:p>
        </w:tc>
        <w:tc>
          <w:tcPr>
            <w:tcW w:w="1235" w:type="dxa"/>
            <w:tcBorders>
              <w:top w:val="single" w:sz="4" w:space="0" w:color="FFFFFF"/>
              <w:left w:val="single" w:sz="4" w:space="0" w:color="FFFFFF"/>
              <w:bottom w:val="single" w:sz="4" w:space="0" w:color="FFFFFF"/>
              <w:right w:val="single" w:sz="4" w:space="0" w:color="FFFFFF"/>
            </w:tcBorders>
            <w:shd w:val="clear" w:color="B4C6E7" w:fill="B4C6E7"/>
            <w:noWrap/>
            <w:vAlign w:val="center"/>
          </w:tcPr>
          <w:p w14:paraId="04E04E6D" w14:textId="61597803" w:rsidR="00F369DF" w:rsidRPr="006D1761" w:rsidRDefault="00F369DF" w:rsidP="00D33EEC">
            <w:pPr>
              <w:spacing w:line="240" w:lineRule="auto"/>
              <w:jc w:val="right"/>
              <w:rPr>
                <w:rFonts w:cs="Arial"/>
                <w:color w:val="000000"/>
                <w:szCs w:val="20"/>
                <w:lang w:val="sl-SI" w:eastAsia="sl-SI"/>
              </w:rPr>
            </w:pPr>
          </w:p>
        </w:tc>
        <w:tc>
          <w:tcPr>
            <w:tcW w:w="1301" w:type="dxa"/>
            <w:tcBorders>
              <w:top w:val="single" w:sz="4" w:space="0" w:color="FFFFFF"/>
              <w:left w:val="single" w:sz="4" w:space="0" w:color="FFFFFF"/>
              <w:bottom w:val="single" w:sz="4" w:space="0" w:color="FFFFFF"/>
              <w:right w:val="nil"/>
            </w:tcBorders>
            <w:shd w:val="clear" w:color="B4C6E7" w:fill="B4C6E7"/>
            <w:noWrap/>
            <w:vAlign w:val="center"/>
          </w:tcPr>
          <w:p w14:paraId="2C2D59C1" w14:textId="405DE59B" w:rsidR="00F369DF" w:rsidRPr="006D1761" w:rsidRDefault="00F369DF" w:rsidP="00D33EEC">
            <w:pPr>
              <w:spacing w:line="240" w:lineRule="auto"/>
              <w:jc w:val="right"/>
              <w:rPr>
                <w:rFonts w:cs="Arial"/>
                <w:color w:val="000000"/>
                <w:szCs w:val="20"/>
                <w:lang w:val="sl-SI" w:eastAsia="sl-SI"/>
              </w:rPr>
            </w:pPr>
          </w:p>
        </w:tc>
      </w:tr>
      <w:tr w:rsidR="00F369DF" w:rsidRPr="006D1761" w14:paraId="17A89B79" w14:textId="77777777" w:rsidTr="00D33EEC">
        <w:trPr>
          <w:trHeight w:val="300"/>
        </w:trPr>
        <w:tc>
          <w:tcPr>
            <w:tcW w:w="473" w:type="dxa"/>
            <w:tcBorders>
              <w:top w:val="single" w:sz="4" w:space="0" w:color="FFFFFF"/>
              <w:left w:val="nil"/>
              <w:bottom w:val="nil"/>
              <w:right w:val="single" w:sz="4" w:space="0" w:color="FFFFFF"/>
            </w:tcBorders>
            <w:shd w:val="clear" w:color="auto" w:fill="5B9BD5" w:themeFill="accent5"/>
            <w:noWrap/>
            <w:vAlign w:val="center"/>
          </w:tcPr>
          <w:p w14:paraId="3D4ADB8E" w14:textId="77777777" w:rsidR="00F369DF" w:rsidRPr="006D1761" w:rsidRDefault="00F369DF" w:rsidP="00D33EEC">
            <w:pPr>
              <w:spacing w:line="240" w:lineRule="auto"/>
              <w:jc w:val="right"/>
              <w:rPr>
                <w:rFonts w:cs="Arial"/>
                <w:color w:val="000000"/>
                <w:szCs w:val="20"/>
                <w:lang w:val="sl-SI" w:eastAsia="sl-SI"/>
              </w:rPr>
            </w:pPr>
          </w:p>
        </w:tc>
        <w:tc>
          <w:tcPr>
            <w:tcW w:w="3389" w:type="dxa"/>
            <w:tcBorders>
              <w:top w:val="single" w:sz="4" w:space="0" w:color="FFFFFF"/>
              <w:left w:val="single" w:sz="4" w:space="0" w:color="FFFFFF"/>
              <w:bottom w:val="nil"/>
              <w:right w:val="single" w:sz="4" w:space="0" w:color="FFFFFF"/>
            </w:tcBorders>
            <w:shd w:val="clear" w:color="auto" w:fill="5B9BD5" w:themeFill="accent5"/>
            <w:noWrap/>
            <w:vAlign w:val="center"/>
          </w:tcPr>
          <w:p w14:paraId="7BD5B092" w14:textId="77777777" w:rsidR="00F369DF" w:rsidRPr="006D1761" w:rsidDel="000B0CE9" w:rsidRDefault="00F369DF" w:rsidP="00D33EEC">
            <w:pPr>
              <w:spacing w:line="240" w:lineRule="auto"/>
              <w:rPr>
                <w:rFonts w:cs="Arial"/>
                <w:color w:val="000000"/>
                <w:szCs w:val="20"/>
                <w:lang w:val="sl-SI" w:eastAsia="sl-SI"/>
              </w:rPr>
            </w:pPr>
            <w:r w:rsidRPr="006D1761">
              <w:rPr>
                <w:rFonts w:cs="Arial"/>
                <w:b/>
                <w:bCs/>
                <w:color w:val="FFFFFF" w:themeColor="background1"/>
                <w:szCs w:val="20"/>
                <w:lang w:val="sl-SI" w:eastAsia="sl-SI"/>
              </w:rPr>
              <w:t>Skupaj</w:t>
            </w:r>
          </w:p>
        </w:tc>
        <w:tc>
          <w:tcPr>
            <w:tcW w:w="1157" w:type="dxa"/>
            <w:tcBorders>
              <w:top w:val="single" w:sz="4" w:space="0" w:color="FFFFFF"/>
              <w:left w:val="single" w:sz="4" w:space="0" w:color="FFFFFF"/>
              <w:bottom w:val="nil"/>
              <w:right w:val="single" w:sz="4" w:space="0" w:color="FFFFFF"/>
            </w:tcBorders>
            <w:shd w:val="clear" w:color="auto" w:fill="5B9BD5" w:themeFill="accent5"/>
            <w:noWrap/>
            <w:vAlign w:val="center"/>
          </w:tcPr>
          <w:p w14:paraId="4FE3D703" w14:textId="6D3E2EF7" w:rsidR="00F369DF" w:rsidRPr="006D1761" w:rsidRDefault="00F369DF" w:rsidP="00D33EEC">
            <w:pPr>
              <w:spacing w:line="240" w:lineRule="auto"/>
              <w:jc w:val="right"/>
              <w:rPr>
                <w:rFonts w:cs="Arial"/>
                <w:color w:val="000000"/>
                <w:szCs w:val="20"/>
                <w:lang w:val="sl-SI"/>
              </w:rPr>
            </w:pPr>
          </w:p>
        </w:tc>
        <w:tc>
          <w:tcPr>
            <w:tcW w:w="1301" w:type="dxa"/>
            <w:tcBorders>
              <w:top w:val="single" w:sz="4" w:space="0" w:color="FFFFFF"/>
              <w:left w:val="single" w:sz="4" w:space="0" w:color="FFFFFF"/>
              <w:bottom w:val="nil"/>
              <w:right w:val="single" w:sz="4" w:space="0" w:color="FFFFFF"/>
            </w:tcBorders>
            <w:shd w:val="clear" w:color="auto" w:fill="5B9BD5" w:themeFill="accent5"/>
            <w:noWrap/>
            <w:vAlign w:val="center"/>
          </w:tcPr>
          <w:p w14:paraId="72BC5F3C" w14:textId="059CBAC3" w:rsidR="00F369DF" w:rsidRPr="006D1761" w:rsidRDefault="00F369DF" w:rsidP="00D33EEC">
            <w:pPr>
              <w:spacing w:line="240" w:lineRule="auto"/>
              <w:jc w:val="right"/>
              <w:rPr>
                <w:rFonts w:cs="Arial"/>
                <w:color w:val="000000"/>
                <w:szCs w:val="20"/>
                <w:lang w:val="sl-SI"/>
              </w:rPr>
            </w:pPr>
          </w:p>
        </w:tc>
        <w:tc>
          <w:tcPr>
            <w:tcW w:w="1235" w:type="dxa"/>
            <w:tcBorders>
              <w:top w:val="single" w:sz="4" w:space="0" w:color="FFFFFF"/>
              <w:left w:val="single" w:sz="4" w:space="0" w:color="FFFFFF"/>
              <w:bottom w:val="nil"/>
              <w:right w:val="single" w:sz="4" w:space="0" w:color="FFFFFF"/>
            </w:tcBorders>
            <w:shd w:val="clear" w:color="auto" w:fill="5B9BD5" w:themeFill="accent5"/>
            <w:noWrap/>
            <w:vAlign w:val="center"/>
          </w:tcPr>
          <w:p w14:paraId="3F9E7623" w14:textId="68B57639" w:rsidR="00F369DF" w:rsidRPr="006D1761" w:rsidRDefault="00F369DF" w:rsidP="00D33EEC">
            <w:pPr>
              <w:spacing w:line="240" w:lineRule="auto"/>
              <w:jc w:val="right"/>
              <w:rPr>
                <w:rFonts w:cs="Arial"/>
                <w:color w:val="000000"/>
                <w:szCs w:val="20"/>
                <w:lang w:val="sl-SI"/>
              </w:rPr>
            </w:pPr>
          </w:p>
        </w:tc>
        <w:tc>
          <w:tcPr>
            <w:tcW w:w="1301" w:type="dxa"/>
            <w:tcBorders>
              <w:top w:val="single" w:sz="4" w:space="0" w:color="FFFFFF"/>
              <w:left w:val="single" w:sz="4" w:space="0" w:color="FFFFFF"/>
              <w:bottom w:val="nil"/>
              <w:right w:val="nil"/>
            </w:tcBorders>
            <w:shd w:val="clear" w:color="auto" w:fill="5B9BD5" w:themeFill="accent5"/>
            <w:noWrap/>
            <w:vAlign w:val="center"/>
          </w:tcPr>
          <w:p w14:paraId="3D26E193" w14:textId="14854911" w:rsidR="00F369DF" w:rsidRPr="006D1761" w:rsidRDefault="00F369DF" w:rsidP="00D33EEC">
            <w:pPr>
              <w:spacing w:line="240" w:lineRule="auto"/>
              <w:jc w:val="center"/>
              <w:rPr>
                <w:rFonts w:cs="Arial"/>
                <w:color w:val="000000"/>
                <w:szCs w:val="20"/>
                <w:lang w:val="sl-SI"/>
              </w:rPr>
            </w:pPr>
          </w:p>
        </w:tc>
      </w:tr>
      <w:bookmarkEnd w:id="8"/>
    </w:tbl>
    <w:p w14:paraId="09CD6CB7" w14:textId="0EFA43FE" w:rsidR="00A23D5D" w:rsidRPr="006D1761" w:rsidRDefault="00A23D5D" w:rsidP="00F369DF">
      <w:pPr>
        <w:tabs>
          <w:tab w:val="left" w:pos="1440"/>
        </w:tabs>
        <w:jc w:val="both"/>
        <w:rPr>
          <w:rFonts w:cs="Arial"/>
          <w:bCs/>
          <w:szCs w:val="20"/>
          <w:lang w:val="sl-SI"/>
        </w:rPr>
      </w:pPr>
    </w:p>
    <w:p w14:paraId="3F4BA763" w14:textId="720C4CDB" w:rsidR="00F369DF" w:rsidRPr="006D1761" w:rsidRDefault="00F369DF" w:rsidP="00E7333E">
      <w:pPr>
        <w:widowControl w:val="0"/>
        <w:spacing w:before="120" w:after="120" w:line="240" w:lineRule="auto"/>
        <w:jc w:val="both"/>
        <w:rPr>
          <w:rFonts w:cs="Arial"/>
          <w:szCs w:val="20"/>
          <w:lang w:val="sl-SI" w:eastAsia="sl-SI"/>
        </w:rPr>
      </w:pPr>
      <w:r w:rsidRPr="006D1761">
        <w:rPr>
          <w:rFonts w:cs="Arial"/>
          <w:szCs w:val="20"/>
          <w:lang w:val="sl-SI" w:eastAsia="sl-SI"/>
        </w:rPr>
        <w:t>Predlog zakona bi lahko imel posledice za druga javna finančna sredstva, katere bo mogoče oceniti po izvedbi analize tveganj, ki jih zakon v prihodnosti zahteva pri posameznih zavezancih.</w:t>
      </w:r>
    </w:p>
    <w:p w14:paraId="1801D549" w14:textId="77777777" w:rsidR="00F369DF" w:rsidRPr="006D1761" w:rsidRDefault="00F369DF" w:rsidP="00E7333E">
      <w:pPr>
        <w:tabs>
          <w:tab w:val="left" w:pos="1440"/>
        </w:tabs>
        <w:spacing w:line="240" w:lineRule="auto"/>
        <w:jc w:val="both"/>
        <w:rPr>
          <w:rFonts w:cs="Arial"/>
          <w:bCs/>
          <w:szCs w:val="20"/>
          <w:lang w:val="sl-SI"/>
        </w:rPr>
      </w:pPr>
    </w:p>
    <w:p w14:paraId="0FF876C2" w14:textId="4C913CAD" w:rsidR="00F369DF" w:rsidRPr="006D1761" w:rsidRDefault="00F369DF" w:rsidP="00E7333E">
      <w:pPr>
        <w:widowControl w:val="0"/>
        <w:spacing w:before="120" w:after="120" w:line="240" w:lineRule="auto"/>
        <w:jc w:val="both"/>
        <w:rPr>
          <w:rFonts w:cs="Arial"/>
          <w:szCs w:val="20"/>
          <w:lang w:val="sl-SI" w:eastAsia="sl-SI"/>
        </w:rPr>
      </w:pPr>
      <w:r w:rsidRPr="006D1761">
        <w:rPr>
          <w:rFonts w:cs="Arial"/>
          <w:szCs w:val="20"/>
          <w:lang w:val="sl-SI" w:eastAsia="sl-SI"/>
        </w:rPr>
        <w:t xml:space="preserve">V nadaljevanju so podane ocene stroškov </w:t>
      </w:r>
      <w:r w:rsidRPr="006D1761">
        <w:rPr>
          <w:rFonts w:cs="Arial"/>
          <w:szCs w:val="20"/>
          <w:lang w:val="sl-SI"/>
        </w:rPr>
        <w:t xml:space="preserve">zagotovitve pogojev za </w:t>
      </w:r>
      <w:r w:rsidRPr="006D1761">
        <w:rPr>
          <w:rFonts w:cs="Arial"/>
          <w:szCs w:val="20"/>
          <w:lang w:val="sl-SI" w:eastAsia="sl-SI"/>
        </w:rPr>
        <w:t>delovanje po posameznih organih oziroma nalogah.</w:t>
      </w:r>
    </w:p>
    <w:p w14:paraId="1544A9F2" w14:textId="77777777" w:rsidR="00F369DF" w:rsidRPr="006D1761" w:rsidRDefault="00F369DF" w:rsidP="00F369DF">
      <w:pPr>
        <w:tabs>
          <w:tab w:val="left" w:pos="1440"/>
        </w:tabs>
        <w:jc w:val="both"/>
        <w:rPr>
          <w:rFonts w:cs="Arial"/>
          <w:bCs/>
          <w:szCs w:val="20"/>
          <w:lang w:val="sl-SI"/>
        </w:rPr>
      </w:pPr>
    </w:p>
    <w:p w14:paraId="4CBDA012" w14:textId="600AD54E" w:rsidR="00F369DF" w:rsidRPr="006D1761" w:rsidRDefault="00F369DF" w:rsidP="003B2726">
      <w:pPr>
        <w:pStyle w:val="Odstavekseznama"/>
        <w:numPr>
          <w:ilvl w:val="0"/>
          <w:numId w:val="19"/>
        </w:numPr>
        <w:tabs>
          <w:tab w:val="left" w:pos="1440"/>
        </w:tabs>
        <w:jc w:val="both"/>
        <w:rPr>
          <w:rFonts w:cs="Arial"/>
          <w:b/>
          <w:bCs/>
          <w:szCs w:val="20"/>
          <w:lang w:val="sl-SI"/>
        </w:rPr>
      </w:pPr>
      <w:r w:rsidRPr="006D1761">
        <w:rPr>
          <w:rFonts w:cs="Arial"/>
          <w:b/>
          <w:bCs/>
          <w:szCs w:val="20"/>
          <w:lang w:val="sl-SI"/>
        </w:rPr>
        <w:t>Zagotovitev pogojev za delovanje pristojnega nacionalnega organa</w:t>
      </w:r>
      <w:r w:rsidRPr="006D1761">
        <w:rPr>
          <w:rFonts w:cs="Arial"/>
          <w:b/>
          <w:bCs/>
          <w:szCs w:val="20"/>
          <w:lang w:val="sl-SI" w:eastAsia="sl-SI"/>
        </w:rPr>
        <w:t>:</w:t>
      </w:r>
    </w:p>
    <w:p w14:paraId="68EE6FEA" w14:textId="77777777" w:rsidR="00E1666F" w:rsidRPr="006D1761" w:rsidRDefault="00E1666F" w:rsidP="00F369DF">
      <w:pPr>
        <w:tabs>
          <w:tab w:val="left" w:pos="1440"/>
        </w:tabs>
        <w:jc w:val="both"/>
        <w:rPr>
          <w:rFonts w:cs="Arial"/>
          <w:bCs/>
          <w:szCs w:val="20"/>
          <w:lang w:val="sl-SI"/>
        </w:rPr>
      </w:pPr>
    </w:p>
    <w:tbl>
      <w:tblPr>
        <w:tblW w:w="9190" w:type="dxa"/>
        <w:tblCellMar>
          <w:left w:w="70" w:type="dxa"/>
          <w:right w:w="70" w:type="dxa"/>
        </w:tblCellMar>
        <w:tblLook w:val="04A0" w:firstRow="1" w:lastRow="0" w:firstColumn="1" w:lastColumn="0" w:noHBand="0" w:noVBand="1"/>
      </w:tblPr>
      <w:tblGrid>
        <w:gridCol w:w="419"/>
        <w:gridCol w:w="3586"/>
        <w:gridCol w:w="1325"/>
        <w:gridCol w:w="1309"/>
        <w:gridCol w:w="1242"/>
        <w:gridCol w:w="1309"/>
      </w:tblGrid>
      <w:tr w:rsidR="00F369DF" w:rsidRPr="006D1761" w14:paraId="35843B0A" w14:textId="77777777" w:rsidTr="00FA5E8F">
        <w:trPr>
          <w:trHeight w:val="300"/>
        </w:trPr>
        <w:tc>
          <w:tcPr>
            <w:tcW w:w="4005" w:type="dxa"/>
            <w:gridSpan w:val="2"/>
            <w:tcBorders>
              <w:top w:val="nil"/>
              <w:left w:val="nil"/>
              <w:bottom w:val="single" w:sz="12" w:space="0" w:color="FFFFFF"/>
              <w:right w:val="single" w:sz="4" w:space="0" w:color="FFFFFF"/>
            </w:tcBorders>
            <w:shd w:val="clear" w:color="4472C4" w:fill="4472C4"/>
            <w:noWrap/>
            <w:vAlign w:val="center"/>
            <w:hideMark/>
          </w:tcPr>
          <w:p w14:paraId="3B0B0BE0" w14:textId="77777777" w:rsidR="00F369DF" w:rsidRPr="006D1761" w:rsidRDefault="00F369DF" w:rsidP="00533EB7">
            <w:pPr>
              <w:spacing w:line="240" w:lineRule="auto"/>
              <w:rPr>
                <w:rFonts w:cs="Arial"/>
                <w:b/>
                <w:bCs/>
                <w:color w:val="FFFFFF"/>
                <w:szCs w:val="20"/>
                <w:lang w:val="sl-SI" w:eastAsia="sl-SI"/>
              </w:rPr>
            </w:pPr>
          </w:p>
        </w:tc>
        <w:tc>
          <w:tcPr>
            <w:tcW w:w="1325" w:type="dxa"/>
            <w:tcBorders>
              <w:top w:val="nil"/>
              <w:left w:val="single" w:sz="4" w:space="0" w:color="FFFFFF"/>
              <w:bottom w:val="single" w:sz="12" w:space="0" w:color="FFFFFF"/>
              <w:right w:val="single" w:sz="4" w:space="0" w:color="FFFFFF"/>
            </w:tcBorders>
            <w:shd w:val="clear" w:color="4472C4" w:fill="4472C4"/>
            <w:noWrap/>
            <w:vAlign w:val="center"/>
            <w:hideMark/>
          </w:tcPr>
          <w:p w14:paraId="31D36C8A" w14:textId="77777777" w:rsidR="00F369DF" w:rsidRPr="006D1761" w:rsidRDefault="00F369DF" w:rsidP="00533EB7">
            <w:pPr>
              <w:spacing w:line="240" w:lineRule="auto"/>
              <w:jc w:val="center"/>
              <w:rPr>
                <w:rFonts w:cs="Arial"/>
                <w:b/>
                <w:bCs/>
                <w:color w:val="FFFFFF"/>
                <w:szCs w:val="20"/>
                <w:lang w:val="sl-SI" w:eastAsia="sl-SI"/>
              </w:rPr>
            </w:pPr>
            <w:r w:rsidRPr="006D1761">
              <w:rPr>
                <w:rFonts w:cs="Arial"/>
                <w:b/>
                <w:bCs/>
                <w:color w:val="FFFFFF"/>
                <w:szCs w:val="20"/>
                <w:lang w:val="sl-SI" w:eastAsia="sl-SI"/>
              </w:rPr>
              <w:t>t</w:t>
            </w:r>
          </w:p>
        </w:tc>
        <w:tc>
          <w:tcPr>
            <w:tcW w:w="1309" w:type="dxa"/>
            <w:tcBorders>
              <w:top w:val="nil"/>
              <w:left w:val="single" w:sz="4" w:space="0" w:color="FFFFFF"/>
              <w:bottom w:val="single" w:sz="12" w:space="0" w:color="FFFFFF"/>
              <w:right w:val="single" w:sz="4" w:space="0" w:color="FFFFFF"/>
            </w:tcBorders>
            <w:shd w:val="clear" w:color="4472C4" w:fill="4472C4"/>
            <w:noWrap/>
            <w:vAlign w:val="center"/>
            <w:hideMark/>
          </w:tcPr>
          <w:p w14:paraId="16F7ADA5" w14:textId="77777777" w:rsidR="00F369DF" w:rsidRPr="006D1761" w:rsidRDefault="00F369DF" w:rsidP="00533EB7">
            <w:pPr>
              <w:spacing w:line="240" w:lineRule="auto"/>
              <w:jc w:val="center"/>
              <w:rPr>
                <w:rFonts w:cs="Arial"/>
                <w:b/>
                <w:bCs/>
                <w:color w:val="FFFFFF"/>
                <w:szCs w:val="20"/>
                <w:lang w:val="sl-SI" w:eastAsia="sl-SI"/>
              </w:rPr>
            </w:pPr>
            <w:r w:rsidRPr="006D1761">
              <w:rPr>
                <w:rFonts w:cs="Arial"/>
                <w:b/>
                <w:bCs/>
                <w:color w:val="FFFFFF"/>
                <w:szCs w:val="20"/>
                <w:lang w:val="sl-SI" w:eastAsia="sl-SI"/>
              </w:rPr>
              <w:t>t + 1</w:t>
            </w:r>
          </w:p>
        </w:tc>
        <w:tc>
          <w:tcPr>
            <w:tcW w:w="1242" w:type="dxa"/>
            <w:tcBorders>
              <w:top w:val="nil"/>
              <w:left w:val="single" w:sz="4" w:space="0" w:color="FFFFFF"/>
              <w:bottom w:val="single" w:sz="12" w:space="0" w:color="FFFFFF"/>
              <w:right w:val="single" w:sz="4" w:space="0" w:color="FFFFFF"/>
            </w:tcBorders>
            <w:shd w:val="clear" w:color="4472C4" w:fill="4472C4"/>
            <w:noWrap/>
            <w:vAlign w:val="center"/>
            <w:hideMark/>
          </w:tcPr>
          <w:p w14:paraId="36CD5FAB" w14:textId="77777777" w:rsidR="00F369DF" w:rsidRPr="006D1761" w:rsidRDefault="00F369DF" w:rsidP="00533EB7">
            <w:pPr>
              <w:spacing w:line="240" w:lineRule="auto"/>
              <w:jc w:val="center"/>
              <w:rPr>
                <w:rFonts w:cs="Arial"/>
                <w:b/>
                <w:bCs/>
                <w:color w:val="FFFFFF"/>
                <w:szCs w:val="20"/>
                <w:lang w:val="sl-SI" w:eastAsia="sl-SI"/>
              </w:rPr>
            </w:pPr>
            <w:r w:rsidRPr="006D1761">
              <w:rPr>
                <w:rFonts w:cs="Arial"/>
                <w:b/>
                <w:bCs/>
                <w:color w:val="FFFFFF"/>
                <w:szCs w:val="20"/>
                <w:lang w:val="sl-SI" w:eastAsia="sl-SI"/>
              </w:rPr>
              <w:t xml:space="preserve">t + 2 </w:t>
            </w:r>
          </w:p>
        </w:tc>
        <w:tc>
          <w:tcPr>
            <w:tcW w:w="1309" w:type="dxa"/>
            <w:tcBorders>
              <w:top w:val="nil"/>
              <w:left w:val="single" w:sz="4" w:space="0" w:color="FFFFFF"/>
              <w:bottom w:val="single" w:sz="12" w:space="0" w:color="FFFFFF"/>
              <w:right w:val="nil"/>
            </w:tcBorders>
            <w:shd w:val="clear" w:color="4472C4" w:fill="4472C4"/>
            <w:noWrap/>
            <w:vAlign w:val="center"/>
            <w:hideMark/>
          </w:tcPr>
          <w:p w14:paraId="7FDBFCF5" w14:textId="77777777" w:rsidR="00F369DF" w:rsidRPr="006D1761" w:rsidRDefault="00F369DF" w:rsidP="00533EB7">
            <w:pPr>
              <w:spacing w:line="240" w:lineRule="auto"/>
              <w:jc w:val="center"/>
              <w:rPr>
                <w:rFonts w:cs="Arial"/>
                <w:b/>
                <w:bCs/>
                <w:color w:val="FFFFFF"/>
                <w:szCs w:val="20"/>
                <w:lang w:val="sl-SI" w:eastAsia="sl-SI"/>
              </w:rPr>
            </w:pPr>
            <w:r w:rsidRPr="006D1761">
              <w:rPr>
                <w:rFonts w:cs="Arial"/>
                <w:b/>
                <w:bCs/>
                <w:color w:val="FFFFFF"/>
                <w:szCs w:val="20"/>
                <w:lang w:val="sl-SI" w:eastAsia="sl-SI"/>
              </w:rPr>
              <w:t>t + 3</w:t>
            </w:r>
          </w:p>
        </w:tc>
      </w:tr>
      <w:tr w:rsidR="00F369DF" w:rsidRPr="006D1761" w14:paraId="2683EB72" w14:textId="77777777" w:rsidTr="00FA5E8F">
        <w:trPr>
          <w:trHeight w:val="300"/>
        </w:trPr>
        <w:tc>
          <w:tcPr>
            <w:tcW w:w="419" w:type="dxa"/>
            <w:tcBorders>
              <w:top w:val="single" w:sz="4" w:space="0" w:color="FFFFFF"/>
              <w:left w:val="nil"/>
              <w:bottom w:val="single" w:sz="4" w:space="0" w:color="FFFFFF"/>
              <w:right w:val="single" w:sz="4" w:space="0" w:color="FFFFFF"/>
            </w:tcBorders>
            <w:shd w:val="clear" w:color="B4C6E7" w:fill="B4C6E7"/>
            <w:noWrap/>
            <w:vAlign w:val="center"/>
            <w:hideMark/>
          </w:tcPr>
          <w:p w14:paraId="2CD9C82C" w14:textId="77777777" w:rsidR="00F369DF" w:rsidRPr="006D1761" w:rsidRDefault="00F369DF" w:rsidP="00533EB7">
            <w:pPr>
              <w:spacing w:line="240" w:lineRule="auto"/>
              <w:jc w:val="center"/>
              <w:rPr>
                <w:rFonts w:cs="Arial"/>
                <w:b/>
                <w:bCs/>
                <w:color w:val="FFFFFF"/>
                <w:szCs w:val="20"/>
                <w:lang w:val="sl-SI" w:eastAsia="sl-SI"/>
              </w:rPr>
            </w:pPr>
          </w:p>
        </w:tc>
        <w:tc>
          <w:tcPr>
            <w:tcW w:w="3586"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14:paraId="39E11C26" w14:textId="77777777" w:rsidR="00F369DF" w:rsidRPr="006D1761" w:rsidRDefault="00F369DF" w:rsidP="00533EB7">
            <w:pPr>
              <w:spacing w:line="240" w:lineRule="auto"/>
              <w:rPr>
                <w:rFonts w:cs="Arial"/>
                <w:b/>
                <w:bCs/>
                <w:color w:val="000000"/>
                <w:szCs w:val="20"/>
                <w:lang w:val="sl-SI" w:eastAsia="sl-SI"/>
              </w:rPr>
            </w:pPr>
            <w:r w:rsidRPr="006D1761">
              <w:rPr>
                <w:rFonts w:cs="Arial"/>
                <w:b/>
                <w:bCs/>
                <w:color w:val="000000"/>
                <w:szCs w:val="20"/>
                <w:lang w:val="sl-SI" w:eastAsia="sl-SI"/>
              </w:rPr>
              <w:t>Kategorija/leto</w:t>
            </w:r>
          </w:p>
        </w:tc>
        <w:tc>
          <w:tcPr>
            <w:tcW w:w="1325"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14:paraId="0C01A152" w14:textId="19C4FE2F" w:rsidR="00F369DF" w:rsidRPr="006D1761" w:rsidRDefault="00F369DF" w:rsidP="00533EB7">
            <w:pPr>
              <w:spacing w:line="240" w:lineRule="auto"/>
              <w:jc w:val="center"/>
              <w:rPr>
                <w:rFonts w:cs="Arial"/>
                <w:b/>
                <w:bCs/>
                <w:color w:val="000000"/>
                <w:szCs w:val="20"/>
                <w:lang w:val="sl-SI" w:eastAsia="sl-SI"/>
              </w:rPr>
            </w:pPr>
            <w:r w:rsidRPr="006D1761">
              <w:rPr>
                <w:rFonts w:cs="Arial"/>
                <w:b/>
                <w:bCs/>
                <w:color w:val="000000"/>
                <w:szCs w:val="20"/>
                <w:lang w:val="sl-SI"/>
              </w:rPr>
              <w:t>2024</w:t>
            </w:r>
          </w:p>
        </w:tc>
        <w:tc>
          <w:tcPr>
            <w:tcW w:w="1309" w:type="dxa"/>
            <w:tcBorders>
              <w:top w:val="single" w:sz="4" w:space="0" w:color="FFFFFF"/>
              <w:left w:val="single" w:sz="4" w:space="0" w:color="FFFFFF"/>
              <w:bottom w:val="single" w:sz="4" w:space="0" w:color="FFFFFF"/>
              <w:right w:val="single" w:sz="4" w:space="0" w:color="FFFFFF"/>
            </w:tcBorders>
            <w:shd w:val="clear" w:color="B4C6E7" w:fill="B4C6E7"/>
            <w:noWrap/>
            <w:vAlign w:val="center"/>
          </w:tcPr>
          <w:p w14:paraId="35966D27" w14:textId="45ED0E9D" w:rsidR="00F369DF" w:rsidRPr="006D1761" w:rsidRDefault="00F369DF" w:rsidP="00533EB7">
            <w:pPr>
              <w:spacing w:line="240" w:lineRule="auto"/>
              <w:jc w:val="center"/>
              <w:rPr>
                <w:rFonts w:cs="Arial"/>
                <w:b/>
                <w:bCs/>
                <w:color w:val="000000"/>
                <w:szCs w:val="20"/>
                <w:lang w:val="sl-SI" w:eastAsia="sl-SI"/>
              </w:rPr>
            </w:pPr>
            <w:r w:rsidRPr="006D1761">
              <w:rPr>
                <w:rFonts w:cs="Arial"/>
                <w:b/>
                <w:bCs/>
                <w:color w:val="000000"/>
                <w:szCs w:val="20"/>
                <w:lang w:val="sl-SI" w:eastAsia="sl-SI"/>
              </w:rPr>
              <w:t>2025</w:t>
            </w:r>
          </w:p>
        </w:tc>
        <w:tc>
          <w:tcPr>
            <w:tcW w:w="1242" w:type="dxa"/>
            <w:tcBorders>
              <w:top w:val="single" w:sz="4" w:space="0" w:color="FFFFFF"/>
              <w:left w:val="single" w:sz="4" w:space="0" w:color="FFFFFF"/>
              <w:bottom w:val="single" w:sz="4" w:space="0" w:color="FFFFFF"/>
              <w:right w:val="single" w:sz="4" w:space="0" w:color="FFFFFF"/>
            </w:tcBorders>
            <w:shd w:val="clear" w:color="B4C6E7" w:fill="B4C6E7"/>
            <w:noWrap/>
            <w:vAlign w:val="center"/>
          </w:tcPr>
          <w:p w14:paraId="66E64B01" w14:textId="67593F5B" w:rsidR="00F369DF" w:rsidRPr="006D1761" w:rsidRDefault="00F369DF" w:rsidP="00533EB7">
            <w:pPr>
              <w:spacing w:line="240" w:lineRule="auto"/>
              <w:jc w:val="center"/>
              <w:rPr>
                <w:rFonts w:cs="Arial"/>
                <w:b/>
                <w:bCs/>
                <w:color w:val="000000"/>
                <w:szCs w:val="20"/>
                <w:lang w:val="sl-SI" w:eastAsia="sl-SI"/>
              </w:rPr>
            </w:pPr>
            <w:r w:rsidRPr="006D1761">
              <w:rPr>
                <w:rFonts w:cs="Arial"/>
                <w:b/>
                <w:bCs/>
                <w:color w:val="000000"/>
                <w:szCs w:val="20"/>
                <w:lang w:val="sl-SI" w:eastAsia="sl-SI"/>
              </w:rPr>
              <w:t>2026</w:t>
            </w:r>
          </w:p>
        </w:tc>
        <w:tc>
          <w:tcPr>
            <w:tcW w:w="1309" w:type="dxa"/>
            <w:tcBorders>
              <w:top w:val="single" w:sz="4" w:space="0" w:color="FFFFFF"/>
              <w:left w:val="single" w:sz="4" w:space="0" w:color="FFFFFF"/>
              <w:bottom w:val="single" w:sz="4" w:space="0" w:color="FFFFFF"/>
              <w:right w:val="nil"/>
            </w:tcBorders>
            <w:shd w:val="clear" w:color="B4C6E7" w:fill="B4C6E7"/>
            <w:noWrap/>
            <w:vAlign w:val="center"/>
          </w:tcPr>
          <w:p w14:paraId="2BD85D66" w14:textId="33780E8B" w:rsidR="00F369DF" w:rsidRPr="006D1761" w:rsidRDefault="00F369DF" w:rsidP="00533EB7">
            <w:pPr>
              <w:spacing w:line="240" w:lineRule="auto"/>
              <w:jc w:val="center"/>
              <w:rPr>
                <w:rFonts w:cs="Arial"/>
                <w:b/>
                <w:bCs/>
                <w:color w:val="000000"/>
                <w:szCs w:val="20"/>
                <w:lang w:val="sl-SI" w:eastAsia="sl-SI"/>
              </w:rPr>
            </w:pPr>
            <w:r w:rsidRPr="006D1761">
              <w:rPr>
                <w:rFonts w:cs="Arial"/>
                <w:b/>
                <w:bCs/>
                <w:color w:val="000000"/>
                <w:szCs w:val="20"/>
                <w:lang w:val="sl-SI" w:eastAsia="sl-SI"/>
              </w:rPr>
              <w:t>2027</w:t>
            </w:r>
          </w:p>
        </w:tc>
      </w:tr>
      <w:tr w:rsidR="00A5609C" w:rsidRPr="006D1761" w14:paraId="6F1D89AD" w14:textId="77777777" w:rsidTr="00FA5E8F">
        <w:trPr>
          <w:trHeight w:val="300"/>
        </w:trPr>
        <w:tc>
          <w:tcPr>
            <w:tcW w:w="419" w:type="dxa"/>
            <w:tcBorders>
              <w:top w:val="single" w:sz="4" w:space="0" w:color="FFFFFF"/>
              <w:left w:val="nil"/>
              <w:bottom w:val="single" w:sz="4" w:space="0" w:color="FFFFFF"/>
              <w:right w:val="single" w:sz="4" w:space="0" w:color="FFFFFF"/>
            </w:tcBorders>
            <w:shd w:val="clear" w:color="B4C6E7" w:fill="B4C6E7"/>
            <w:noWrap/>
            <w:vAlign w:val="center"/>
          </w:tcPr>
          <w:p w14:paraId="2CCCB24C" w14:textId="77777777" w:rsidR="00A5609C" w:rsidRPr="006D1761" w:rsidRDefault="00A5609C" w:rsidP="00533EB7">
            <w:pPr>
              <w:spacing w:line="240" w:lineRule="auto"/>
              <w:jc w:val="center"/>
              <w:rPr>
                <w:rFonts w:cs="Arial"/>
                <w:b/>
                <w:bCs/>
                <w:color w:val="FFFFFF"/>
                <w:szCs w:val="20"/>
                <w:lang w:val="sl-SI" w:eastAsia="sl-SI"/>
              </w:rPr>
            </w:pPr>
          </w:p>
        </w:tc>
        <w:tc>
          <w:tcPr>
            <w:tcW w:w="3586" w:type="dxa"/>
            <w:tcBorders>
              <w:top w:val="single" w:sz="4" w:space="0" w:color="FFFFFF"/>
              <w:left w:val="single" w:sz="4" w:space="0" w:color="FFFFFF"/>
              <w:bottom w:val="single" w:sz="4" w:space="0" w:color="FFFFFF"/>
              <w:right w:val="single" w:sz="4" w:space="0" w:color="FFFFFF"/>
            </w:tcBorders>
            <w:shd w:val="clear" w:color="B4C6E7" w:fill="B4C6E7"/>
            <w:noWrap/>
            <w:vAlign w:val="center"/>
          </w:tcPr>
          <w:p w14:paraId="43E0CA74" w14:textId="0D5EFCC5" w:rsidR="00A5609C" w:rsidRPr="006D1761" w:rsidRDefault="00A5609C" w:rsidP="00533EB7">
            <w:pPr>
              <w:spacing w:line="240" w:lineRule="auto"/>
              <w:rPr>
                <w:rFonts w:cs="Arial"/>
                <w:b/>
                <w:bCs/>
                <w:color w:val="000000"/>
                <w:szCs w:val="20"/>
                <w:lang w:val="sl-SI" w:eastAsia="sl-SI"/>
              </w:rPr>
            </w:pPr>
            <w:r>
              <w:rPr>
                <w:rFonts w:cs="Arial"/>
                <w:b/>
                <w:bCs/>
                <w:color w:val="000000"/>
                <w:szCs w:val="20"/>
                <w:lang w:val="sl-SI" w:eastAsia="sl-SI"/>
              </w:rPr>
              <w:t>Število zaposlitev kumulativno</w:t>
            </w:r>
          </w:p>
        </w:tc>
        <w:tc>
          <w:tcPr>
            <w:tcW w:w="1325" w:type="dxa"/>
            <w:tcBorders>
              <w:top w:val="single" w:sz="4" w:space="0" w:color="FFFFFF"/>
              <w:left w:val="single" w:sz="4" w:space="0" w:color="FFFFFF"/>
              <w:bottom w:val="single" w:sz="4" w:space="0" w:color="FFFFFF"/>
              <w:right w:val="single" w:sz="4" w:space="0" w:color="FFFFFF"/>
            </w:tcBorders>
            <w:shd w:val="clear" w:color="B4C6E7" w:fill="B4C6E7"/>
            <w:noWrap/>
            <w:vAlign w:val="center"/>
          </w:tcPr>
          <w:p w14:paraId="21C38A80" w14:textId="4185F690" w:rsidR="00A5609C" w:rsidRPr="006D1761" w:rsidRDefault="00A5609C" w:rsidP="00533EB7">
            <w:pPr>
              <w:spacing w:line="240" w:lineRule="auto"/>
              <w:jc w:val="center"/>
              <w:rPr>
                <w:rFonts w:cs="Arial"/>
                <w:b/>
                <w:bCs/>
                <w:color w:val="000000"/>
                <w:szCs w:val="20"/>
                <w:lang w:val="sl-SI"/>
              </w:rPr>
            </w:pPr>
            <w:r>
              <w:rPr>
                <w:rFonts w:cs="Arial"/>
                <w:b/>
                <w:bCs/>
                <w:color w:val="000000"/>
                <w:szCs w:val="20"/>
                <w:lang w:val="sl-SI"/>
              </w:rPr>
              <w:t>36</w:t>
            </w:r>
          </w:p>
        </w:tc>
        <w:tc>
          <w:tcPr>
            <w:tcW w:w="1309" w:type="dxa"/>
            <w:tcBorders>
              <w:top w:val="single" w:sz="4" w:space="0" w:color="FFFFFF"/>
              <w:left w:val="single" w:sz="4" w:space="0" w:color="FFFFFF"/>
              <w:bottom w:val="single" w:sz="4" w:space="0" w:color="FFFFFF"/>
              <w:right w:val="single" w:sz="4" w:space="0" w:color="FFFFFF"/>
            </w:tcBorders>
            <w:shd w:val="clear" w:color="B4C6E7" w:fill="B4C6E7"/>
            <w:noWrap/>
            <w:vAlign w:val="center"/>
          </w:tcPr>
          <w:p w14:paraId="65A5197A" w14:textId="1F46EB5F" w:rsidR="00A5609C" w:rsidRPr="006D1761" w:rsidRDefault="007D46C1" w:rsidP="00533EB7">
            <w:pPr>
              <w:spacing w:line="240" w:lineRule="auto"/>
              <w:jc w:val="center"/>
              <w:rPr>
                <w:rFonts w:cs="Arial"/>
                <w:b/>
                <w:bCs/>
                <w:color w:val="000000"/>
                <w:szCs w:val="20"/>
                <w:lang w:val="sl-SI" w:eastAsia="sl-SI"/>
              </w:rPr>
            </w:pPr>
            <w:r>
              <w:rPr>
                <w:rFonts w:cs="Arial"/>
                <w:b/>
                <w:bCs/>
                <w:color w:val="000000"/>
                <w:szCs w:val="20"/>
                <w:lang w:val="sl-SI" w:eastAsia="sl-SI"/>
              </w:rPr>
              <w:t>45</w:t>
            </w:r>
          </w:p>
        </w:tc>
        <w:tc>
          <w:tcPr>
            <w:tcW w:w="1242" w:type="dxa"/>
            <w:tcBorders>
              <w:top w:val="single" w:sz="4" w:space="0" w:color="FFFFFF"/>
              <w:left w:val="single" w:sz="4" w:space="0" w:color="FFFFFF"/>
              <w:bottom w:val="single" w:sz="4" w:space="0" w:color="FFFFFF"/>
              <w:right w:val="single" w:sz="4" w:space="0" w:color="FFFFFF"/>
            </w:tcBorders>
            <w:shd w:val="clear" w:color="B4C6E7" w:fill="B4C6E7"/>
            <w:noWrap/>
            <w:vAlign w:val="center"/>
          </w:tcPr>
          <w:p w14:paraId="09CF5A61" w14:textId="00B6C58D" w:rsidR="00A5609C" w:rsidRPr="006D1761" w:rsidRDefault="007D46C1" w:rsidP="00533EB7">
            <w:pPr>
              <w:spacing w:line="240" w:lineRule="auto"/>
              <w:jc w:val="center"/>
              <w:rPr>
                <w:rFonts w:cs="Arial"/>
                <w:b/>
                <w:bCs/>
                <w:color w:val="000000"/>
                <w:szCs w:val="20"/>
                <w:lang w:val="sl-SI" w:eastAsia="sl-SI"/>
              </w:rPr>
            </w:pPr>
            <w:r>
              <w:rPr>
                <w:rFonts w:cs="Arial"/>
                <w:b/>
                <w:bCs/>
                <w:color w:val="000000"/>
                <w:szCs w:val="20"/>
                <w:lang w:val="sl-SI" w:eastAsia="sl-SI"/>
              </w:rPr>
              <w:t>60</w:t>
            </w:r>
          </w:p>
        </w:tc>
        <w:tc>
          <w:tcPr>
            <w:tcW w:w="1309" w:type="dxa"/>
            <w:tcBorders>
              <w:top w:val="single" w:sz="4" w:space="0" w:color="FFFFFF"/>
              <w:left w:val="single" w:sz="4" w:space="0" w:color="FFFFFF"/>
              <w:bottom w:val="single" w:sz="4" w:space="0" w:color="FFFFFF"/>
              <w:right w:val="nil"/>
            </w:tcBorders>
            <w:shd w:val="clear" w:color="B4C6E7" w:fill="B4C6E7"/>
            <w:noWrap/>
            <w:vAlign w:val="center"/>
          </w:tcPr>
          <w:p w14:paraId="72CAF4C8" w14:textId="7C890861" w:rsidR="00A5609C" w:rsidRPr="006D1761" w:rsidRDefault="007D46C1" w:rsidP="00533EB7">
            <w:pPr>
              <w:spacing w:line="240" w:lineRule="auto"/>
              <w:jc w:val="center"/>
              <w:rPr>
                <w:rFonts w:cs="Arial"/>
                <w:b/>
                <w:bCs/>
                <w:color w:val="000000"/>
                <w:szCs w:val="20"/>
                <w:lang w:val="sl-SI" w:eastAsia="sl-SI"/>
              </w:rPr>
            </w:pPr>
            <w:r>
              <w:rPr>
                <w:rFonts w:cs="Arial"/>
                <w:b/>
                <w:bCs/>
                <w:color w:val="000000"/>
                <w:szCs w:val="20"/>
                <w:lang w:val="sl-SI" w:eastAsia="sl-SI"/>
              </w:rPr>
              <w:t>70</w:t>
            </w:r>
          </w:p>
        </w:tc>
      </w:tr>
      <w:tr w:rsidR="007D46C1" w:rsidRPr="007D46C1" w14:paraId="15B024A8" w14:textId="77777777" w:rsidTr="00FA5E8F">
        <w:trPr>
          <w:trHeight w:val="300"/>
        </w:trPr>
        <w:tc>
          <w:tcPr>
            <w:tcW w:w="419" w:type="dxa"/>
            <w:tcBorders>
              <w:top w:val="single" w:sz="4" w:space="0" w:color="FFFFFF"/>
              <w:left w:val="nil"/>
              <w:bottom w:val="single" w:sz="4" w:space="0" w:color="FFFFFF"/>
              <w:right w:val="single" w:sz="4" w:space="0" w:color="FFFFFF"/>
            </w:tcBorders>
            <w:shd w:val="clear" w:color="auto" w:fill="D9E2F3" w:themeFill="accent1" w:themeFillTint="33"/>
            <w:noWrap/>
            <w:vAlign w:val="center"/>
          </w:tcPr>
          <w:p w14:paraId="2DEC42A4" w14:textId="54216637" w:rsidR="007D46C1" w:rsidRPr="007D46C1" w:rsidRDefault="007D46C1" w:rsidP="007D46C1">
            <w:pPr>
              <w:spacing w:line="240" w:lineRule="auto"/>
              <w:jc w:val="right"/>
              <w:rPr>
                <w:rFonts w:cs="Arial"/>
                <w:color w:val="000000"/>
                <w:szCs w:val="20"/>
                <w:lang w:val="sl-SI" w:eastAsia="sl-SI"/>
              </w:rPr>
            </w:pPr>
            <w:r w:rsidRPr="007D46C1">
              <w:rPr>
                <w:rFonts w:cs="Arial"/>
                <w:color w:val="000000"/>
                <w:szCs w:val="20"/>
                <w:lang w:val="sl-SI" w:eastAsia="sl-SI"/>
              </w:rPr>
              <w:t>1</w:t>
            </w:r>
          </w:p>
        </w:tc>
        <w:tc>
          <w:tcPr>
            <w:tcW w:w="3586" w:type="dxa"/>
            <w:tcBorders>
              <w:top w:val="nil"/>
              <w:left w:val="nil"/>
              <w:bottom w:val="single" w:sz="8" w:space="0" w:color="FFFFFF"/>
              <w:right w:val="single" w:sz="8" w:space="0" w:color="FFFFFF"/>
            </w:tcBorders>
            <w:shd w:val="clear" w:color="auto" w:fill="D9E2F3" w:themeFill="accent1" w:themeFillTint="33"/>
            <w:noWrap/>
            <w:vAlign w:val="center"/>
          </w:tcPr>
          <w:p w14:paraId="5BC55954" w14:textId="205B3A47" w:rsidR="007D46C1" w:rsidRPr="007D46C1" w:rsidRDefault="007D46C1" w:rsidP="007D46C1">
            <w:pPr>
              <w:spacing w:line="240" w:lineRule="auto"/>
              <w:rPr>
                <w:rFonts w:cs="Arial"/>
                <w:color w:val="000000"/>
                <w:szCs w:val="20"/>
                <w:lang w:val="sl-SI" w:eastAsia="sl-SI"/>
              </w:rPr>
            </w:pPr>
            <w:r w:rsidRPr="007D46C1">
              <w:rPr>
                <w:rFonts w:cs="Arial"/>
                <w:color w:val="000000"/>
                <w:szCs w:val="20"/>
                <w:lang w:val="sl-SI"/>
              </w:rPr>
              <w:t>Plače</w:t>
            </w:r>
          </w:p>
        </w:tc>
        <w:tc>
          <w:tcPr>
            <w:tcW w:w="1325" w:type="dxa"/>
            <w:tcBorders>
              <w:top w:val="nil"/>
              <w:left w:val="nil"/>
              <w:bottom w:val="single" w:sz="8" w:space="0" w:color="FFFFFF"/>
              <w:right w:val="single" w:sz="8" w:space="0" w:color="FFFFFF"/>
            </w:tcBorders>
            <w:shd w:val="clear" w:color="auto" w:fill="D9E2F3" w:themeFill="accent1" w:themeFillTint="33"/>
            <w:noWrap/>
            <w:vAlign w:val="center"/>
          </w:tcPr>
          <w:p w14:paraId="3D00DDDB" w14:textId="66D777A7" w:rsidR="007D46C1" w:rsidRPr="007D46C1" w:rsidRDefault="007D46C1" w:rsidP="007D46C1">
            <w:pPr>
              <w:spacing w:line="240" w:lineRule="auto"/>
              <w:jc w:val="right"/>
              <w:rPr>
                <w:rFonts w:cs="Arial"/>
                <w:color w:val="000000"/>
                <w:szCs w:val="20"/>
                <w:lang w:val="sl-SI" w:eastAsia="sl-SI"/>
              </w:rPr>
            </w:pPr>
            <w:r w:rsidRPr="007D46C1">
              <w:rPr>
                <w:rFonts w:cs="Arial"/>
                <w:color w:val="000000"/>
                <w:szCs w:val="20"/>
                <w:lang w:val="sl-SI"/>
              </w:rPr>
              <w:t>1.563.884 €</w:t>
            </w:r>
          </w:p>
        </w:tc>
        <w:tc>
          <w:tcPr>
            <w:tcW w:w="1309" w:type="dxa"/>
            <w:tcBorders>
              <w:top w:val="nil"/>
              <w:left w:val="nil"/>
              <w:bottom w:val="single" w:sz="8" w:space="0" w:color="FFFFFF"/>
              <w:right w:val="single" w:sz="8" w:space="0" w:color="FFFFFF"/>
            </w:tcBorders>
            <w:shd w:val="clear" w:color="auto" w:fill="D9E2F3" w:themeFill="accent1" w:themeFillTint="33"/>
            <w:noWrap/>
            <w:vAlign w:val="center"/>
          </w:tcPr>
          <w:p w14:paraId="654BFB70" w14:textId="2092AE15" w:rsidR="007D46C1" w:rsidRPr="007D46C1" w:rsidRDefault="007D46C1" w:rsidP="007D46C1">
            <w:pPr>
              <w:spacing w:line="240" w:lineRule="auto"/>
              <w:jc w:val="right"/>
              <w:rPr>
                <w:rFonts w:cs="Arial"/>
                <w:color w:val="000000"/>
                <w:szCs w:val="20"/>
                <w:lang w:val="sl-SI"/>
              </w:rPr>
            </w:pPr>
            <w:r w:rsidRPr="007D46C1">
              <w:rPr>
                <w:rFonts w:cs="Arial"/>
                <w:color w:val="000000"/>
                <w:szCs w:val="20"/>
                <w:lang w:val="sl-SI"/>
              </w:rPr>
              <w:t>2.025.000 €</w:t>
            </w:r>
          </w:p>
        </w:tc>
        <w:tc>
          <w:tcPr>
            <w:tcW w:w="1242" w:type="dxa"/>
            <w:tcBorders>
              <w:top w:val="nil"/>
              <w:left w:val="nil"/>
              <w:bottom w:val="single" w:sz="8" w:space="0" w:color="FFFFFF"/>
              <w:right w:val="single" w:sz="8" w:space="0" w:color="FFFFFF"/>
            </w:tcBorders>
            <w:shd w:val="clear" w:color="auto" w:fill="D9E2F3" w:themeFill="accent1" w:themeFillTint="33"/>
            <w:noWrap/>
            <w:vAlign w:val="center"/>
          </w:tcPr>
          <w:p w14:paraId="2EF9F292" w14:textId="1B47536E" w:rsidR="007D46C1" w:rsidRPr="007D46C1" w:rsidRDefault="007D46C1" w:rsidP="007D46C1">
            <w:pPr>
              <w:spacing w:line="240" w:lineRule="auto"/>
              <w:jc w:val="right"/>
              <w:rPr>
                <w:rFonts w:cs="Arial"/>
                <w:color w:val="000000"/>
                <w:szCs w:val="20"/>
                <w:lang w:val="sl-SI"/>
              </w:rPr>
            </w:pPr>
            <w:r w:rsidRPr="007D46C1">
              <w:rPr>
                <w:rFonts w:cs="Arial"/>
                <w:color w:val="000000"/>
                <w:szCs w:val="20"/>
                <w:lang w:val="sl-SI"/>
              </w:rPr>
              <w:t>2.700.000 €</w:t>
            </w:r>
          </w:p>
        </w:tc>
        <w:tc>
          <w:tcPr>
            <w:tcW w:w="1309" w:type="dxa"/>
            <w:tcBorders>
              <w:top w:val="nil"/>
              <w:left w:val="nil"/>
              <w:bottom w:val="single" w:sz="8" w:space="0" w:color="FFFFFF"/>
              <w:right w:val="single" w:sz="8" w:space="0" w:color="FFFFFF"/>
            </w:tcBorders>
            <w:shd w:val="clear" w:color="auto" w:fill="D9E2F3" w:themeFill="accent1" w:themeFillTint="33"/>
            <w:noWrap/>
            <w:vAlign w:val="center"/>
          </w:tcPr>
          <w:p w14:paraId="45DBA0AF" w14:textId="70AFBB3A" w:rsidR="007D46C1" w:rsidRPr="007D46C1" w:rsidRDefault="007D46C1" w:rsidP="007D46C1">
            <w:pPr>
              <w:spacing w:line="240" w:lineRule="auto"/>
              <w:jc w:val="right"/>
              <w:rPr>
                <w:rFonts w:cs="Arial"/>
                <w:color w:val="000000"/>
                <w:szCs w:val="20"/>
                <w:lang w:val="sl-SI"/>
              </w:rPr>
            </w:pPr>
            <w:r w:rsidRPr="007D46C1">
              <w:rPr>
                <w:rFonts w:cs="Arial"/>
                <w:color w:val="000000"/>
                <w:szCs w:val="20"/>
                <w:lang w:val="sl-SI"/>
              </w:rPr>
              <w:t>3.150.000 €</w:t>
            </w:r>
          </w:p>
        </w:tc>
      </w:tr>
      <w:tr w:rsidR="007D46C1" w:rsidRPr="007D46C1" w14:paraId="2134AA17" w14:textId="77777777" w:rsidTr="00FA5E8F">
        <w:trPr>
          <w:trHeight w:val="300"/>
        </w:trPr>
        <w:tc>
          <w:tcPr>
            <w:tcW w:w="419" w:type="dxa"/>
            <w:tcBorders>
              <w:top w:val="single" w:sz="4" w:space="0" w:color="FFFFFF"/>
              <w:left w:val="nil"/>
              <w:bottom w:val="single" w:sz="4" w:space="0" w:color="FFFFFF"/>
              <w:right w:val="single" w:sz="4" w:space="0" w:color="FFFFFF"/>
            </w:tcBorders>
            <w:shd w:val="clear" w:color="auto" w:fill="D9E2F3" w:themeFill="accent1" w:themeFillTint="33"/>
            <w:noWrap/>
            <w:vAlign w:val="center"/>
          </w:tcPr>
          <w:p w14:paraId="5F574AF9" w14:textId="4CA72336" w:rsidR="007D46C1" w:rsidRPr="007D46C1" w:rsidRDefault="007D46C1" w:rsidP="007D46C1">
            <w:pPr>
              <w:spacing w:line="240" w:lineRule="auto"/>
              <w:jc w:val="right"/>
              <w:rPr>
                <w:rFonts w:cs="Arial"/>
                <w:color w:val="000000"/>
                <w:szCs w:val="20"/>
                <w:lang w:val="sl-SI" w:eastAsia="sl-SI"/>
              </w:rPr>
            </w:pPr>
            <w:r w:rsidRPr="007D46C1">
              <w:rPr>
                <w:rFonts w:cs="Arial"/>
                <w:color w:val="000000"/>
                <w:szCs w:val="20"/>
                <w:lang w:val="sl-SI" w:eastAsia="sl-SI"/>
              </w:rPr>
              <w:t>2</w:t>
            </w:r>
          </w:p>
        </w:tc>
        <w:tc>
          <w:tcPr>
            <w:tcW w:w="3586" w:type="dxa"/>
            <w:tcBorders>
              <w:top w:val="nil"/>
              <w:left w:val="nil"/>
              <w:bottom w:val="single" w:sz="8" w:space="0" w:color="FFFFFF"/>
              <w:right w:val="single" w:sz="8" w:space="0" w:color="FFFFFF"/>
            </w:tcBorders>
            <w:shd w:val="clear" w:color="auto" w:fill="D9E2F3" w:themeFill="accent1" w:themeFillTint="33"/>
            <w:noWrap/>
            <w:vAlign w:val="center"/>
          </w:tcPr>
          <w:p w14:paraId="32E42EC4" w14:textId="10F5ADD0" w:rsidR="007D46C1" w:rsidRPr="007D46C1" w:rsidRDefault="007D46C1" w:rsidP="007D46C1">
            <w:pPr>
              <w:spacing w:line="240" w:lineRule="auto"/>
              <w:rPr>
                <w:rFonts w:cs="Arial"/>
                <w:color w:val="000000"/>
                <w:szCs w:val="20"/>
                <w:lang w:val="sl-SI" w:eastAsia="sl-SI"/>
              </w:rPr>
            </w:pPr>
            <w:r w:rsidRPr="007D46C1">
              <w:rPr>
                <w:rFonts w:cs="Arial"/>
                <w:color w:val="000000"/>
                <w:szCs w:val="20"/>
                <w:lang w:val="sl-SI"/>
              </w:rPr>
              <w:t>Materialni stroški</w:t>
            </w:r>
          </w:p>
        </w:tc>
        <w:tc>
          <w:tcPr>
            <w:tcW w:w="1325" w:type="dxa"/>
            <w:tcBorders>
              <w:top w:val="nil"/>
              <w:left w:val="nil"/>
              <w:bottom w:val="single" w:sz="8" w:space="0" w:color="FFFFFF"/>
              <w:right w:val="single" w:sz="8" w:space="0" w:color="FFFFFF"/>
            </w:tcBorders>
            <w:shd w:val="clear" w:color="auto" w:fill="D9E2F3" w:themeFill="accent1" w:themeFillTint="33"/>
            <w:noWrap/>
            <w:vAlign w:val="center"/>
          </w:tcPr>
          <w:p w14:paraId="76E2D5CA" w14:textId="44FD838B" w:rsidR="007D46C1" w:rsidRPr="007D46C1" w:rsidRDefault="007D46C1" w:rsidP="007D46C1">
            <w:pPr>
              <w:spacing w:line="240" w:lineRule="auto"/>
              <w:jc w:val="right"/>
              <w:rPr>
                <w:rFonts w:cs="Arial"/>
                <w:color w:val="000000"/>
                <w:szCs w:val="20"/>
                <w:lang w:val="sl-SI"/>
              </w:rPr>
            </w:pPr>
            <w:r w:rsidRPr="007D46C1">
              <w:rPr>
                <w:rFonts w:cs="Arial"/>
                <w:color w:val="000000"/>
                <w:szCs w:val="20"/>
                <w:lang w:val="sl-SI"/>
              </w:rPr>
              <w:t>958.962 €</w:t>
            </w:r>
          </w:p>
        </w:tc>
        <w:tc>
          <w:tcPr>
            <w:tcW w:w="1309" w:type="dxa"/>
            <w:tcBorders>
              <w:top w:val="nil"/>
              <w:left w:val="nil"/>
              <w:bottom w:val="single" w:sz="8" w:space="0" w:color="FFFFFF"/>
              <w:right w:val="single" w:sz="8" w:space="0" w:color="FFFFFF"/>
            </w:tcBorders>
            <w:shd w:val="clear" w:color="auto" w:fill="D9E2F3" w:themeFill="accent1" w:themeFillTint="33"/>
            <w:noWrap/>
            <w:vAlign w:val="center"/>
          </w:tcPr>
          <w:p w14:paraId="7730963F" w14:textId="7A026C78" w:rsidR="007D46C1" w:rsidRPr="007D46C1" w:rsidRDefault="007D46C1" w:rsidP="007D46C1">
            <w:pPr>
              <w:spacing w:line="240" w:lineRule="auto"/>
              <w:jc w:val="right"/>
              <w:rPr>
                <w:rFonts w:cs="Arial"/>
                <w:color w:val="000000"/>
                <w:szCs w:val="20"/>
                <w:lang w:val="sl-SI"/>
              </w:rPr>
            </w:pPr>
            <w:r w:rsidRPr="007D46C1">
              <w:rPr>
                <w:rFonts w:cs="Arial"/>
                <w:color w:val="000000"/>
                <w:szCs w:val="20"/>
                <w:lang w:val="sl-SI"/>
              </w:rPr>
              <w:t>674.000 €</w:t>
            </w:r>
          </w:p>
        </w:tc>
        <w:tc>
          <w:tcPr>
            <w:tcW w:w="1242" w:type="dxa"/>
            <w:tcBorders>
              <w:top w:val="nil"/>
              <w:left w:val="nil"/>
              <w:bottom w:val="single" w:sz="8" w:space="0" w:color="FFFFFF"/>
              <w:right w:val="single" w:sz="8" w:space="0" w:color="FFFFFF"/>
            </w:tcBorders>
            <w:shd w:val="clear" w:color="auto" w:fill="D9E2F3" w:themeFill="accent1" w:themeFillTint="33"/>
            <w:noWrap/>
            <w:vAlign w:val="center"/>
          </w:tcPr>
          <w:p w14:paraId="1E00F66F" w14:textId="4D880F5D" w:rsidR="007D46C1" w:rsidRPr="007D46C1" w:rsidRDefault="007D46C1" w:rsidP="007D46C1">
            <w:pPr>
              <w:spacing w:line="240" w:lineRule="auto"/>
              <w:jc w:val="right"/>
              <w:rPr>
                <w:rFonts w:cs="Arial"/>
                <w:color w:val="000000"/>
                <w:szCs w:val="20"/>
                <w:lang w:val="sl-SI"/>
              </w:rPr>
            </w:pPr>
            <w:r w:rsidRPr="007D46C1">
              <w:rPr>
                <w:rFonts w:cs="Arial"/>
                <w:color w:val="000000"/>
                <w:szCs w:val="20"/>
                <w:lang w:val="sl-SI"/>
              </w:rPr>
              <w:t>764.000 €</w:t>
            </w:r>
          </w:p>
        </w:tc>
        <w:tc>
          <w:tcPr>
            <w:tcW w:w="1309" w:type="dxa"/>
            <w:tcBorders>
              <w:top w:val="nil"/>
              <w:left w:val="nil"/>
              <w:bottom w:val="single" w:sz="8" w:space="0" w:color="FFFFFF"/>
              <w:right w:val="single" w:sz="8" w:space="0" w:color="FFFFFF"/>
            </w:tcBorders>
            <w:shd w:val="clear" w:color="auto" w:fill="D9E2F3" w:themeFill="accent1" w:themeFillTint="33"/>
            <w:noWrap/>
            <w:vAlign w:val="center"/>
          </w:tcPr>
          <w:p w14:paraId="25FACA6E" w14:textId="665B8E58" w:rsidR="007D46C1" w:rsidRPr="007D46C1" w:rsidRDefault="007D46C1" w:rsidP="007D46C1">
            <w:pPr>
              <w:spacing w:line="240" w:lineRule="auto"/>
              <w:jc w:val="right"/>
              <w:rPr>
                <w:rFonts w:cs="Arial"/>
                <w:color w:val="000000"/>
                <w:szCs w:val="20"/>
                <w:lang w:val="sl-SI"/>
              </w:rPr>
            </w:pPr>
            <w:r w:rsidRPr="007D46C1">
              <w:rPr>
                <w:rFonts w:cs="Arial"/>
                <w:color w:val="000000"/>
                <w:szCs w:val="20"/>
                <w:lang w:val="sl-SI"/>
              </w:rPr>
              <w:t>822.000 €</w:t>
            </w:r>
          </w:p>
        </w:tc>
      </w:tr>
      <w:tr w:rsidR="007D46C1" w:rsidRPr="007D46C1" w14:paraId="0DB98A0A" w14:textId="77777777" w:rsidTr="00FA5E8F">
        <w:trPr>
          <w:trHeight w:val="300"/>
        </w:trPr>
        <w:tc>
          <w:tcPr>
            <w:tcW w:w="419" w:type="dxa"/>
            <w:tcBorders>
              <w:top w:val="single" w:sz="4" w:space="0" w:color="FFFFFF"/>
              <w:left w:val="nil"/>
              <w:bottom w:val="single" w:sz="4" w:space="0" w:color="FFFFFF"/>
              <w:right w:val="single" w:sz="4" w:space="0" w:color="FFFFFF"/>
            </w:tcBorders>
            <w:shd w:val="clear" w:color="auto" w:fill="D9E2F3" w:themeFill="accent1" w:themeFillTint="33"/>
            <w:noWrap/>
            <w:vAlign w:val="center"/>
          </w:tcPr>
          <w:p w14:paraId="262427DE" w14:textId="22C16816" w:rsidR="007D46C1" w:rsidRPr="007D46C1" w:rsidRDefault="007D46C1" w:rsidP="007D46C1">
            <w:pPr>
              <w:spacing w:line="240" w:lineRule="auto"/>
              <w:jc w:val="right"/>
              <w:rPr>
                <w:rFonts w:cs="Arial"/>
                <w:color w:val="000000"/>
                <w:szCs w:val="20"/>
                <w:lang w:val="sl-SI" w:eastAsia="sl-SI"/>
              </w:rPr>
            </w:pPr>
            <w:r w:rsidRPr="007D46C1">
              <w:rPr>
                <w:rFonts w:cs="Arial"/>
                <w:color w:val="000000"/>
                <w:szCs w:val="20"/>
                <w:lang w:val="sl-SI" w:eastAsia="sl-SI"/>
              </w:rPr>
              <w:t>3</w:t>
            </w:r>
          </w:p>
        </w:tc>
        <w:tc>
          <w:tcPr>
            <w:tcW w:w="3586" w:type="dxa"/>
            <w:tcBorders>
              <w:top w:val="nil"/>
              <w:left w:val="nil"/>
              <w:bottom w:val="single" w:sz="8" w:space="0" w:color="FFFFFF"/>
              <w:right w:val="single" w:sz="8" w:space="0" w:color="FFFFFF"/>
            </w:tcBorders>
            <w:shd w:val="clear" w:color="auto" w:fill="D9E2F3" w:themeFill="accent1" w:themeFillTint="33"/>
            <w:noWrap/>
            <w:vAlign w:val="center"/>
          </w:tcPr>
          <w:p w14:paraId="541A3D20" w14:textId="68F00FAD" w:rsidR="007D46C1" w:rsidRPr="007D46C1" w:rsidRDefault="007D46C1" w:rsidP="007D46C1">
            <w:pPr>
              <w:spacing w:line="240" w:lineRule="auto"/>
              <w:rPr>
                <w:rFonts w:cs="Arial"/>
                <w:color w:val="000000"/>
                <w:szCs w:val="20"/>
                <w:lang w:val="sl-SI" w:eastAsia="sl-SI"/>
              </w:rPr>
            </w:pPr>
            <w:r w:rsidRPr="007D46C1">
              <w:rPr>
                <w:rFonts w:cs="Arial"/>
                <w:color w:val="000000"/>
                <w:szCs w:val="20"/>
                <w:lang w:val="sl-SI"/>
              </w:rPr>
              <w:t>Investicije in investicijsko vzdrževanje</w:t>
            </w:r>
          </w:p>
        </w:tc>
        <w:tc>
          <w:tcPr>
            <w:tcW w:w="1325" w:type="dxa"/>
            <w:tcBorders>
              <w:top w:val="nil"/>
              <w:left w:val="nil"/>
              <w:bottom w:val="single" w:sz="8" w:space="0" w:color="FFFFFF"/>
              <w:right w:val="single" w:sz="8" w:space="0" w:color="FFFFFF"/>
            </w:tcBorders>
            <w:shd w:val="clear" w:color="auto" w:fill="D9E2F3" w:themeFill="accent1" w:themeFillTint="33"/>
            <w:noWrap/>
            <w:vAlign w:val="center"/>
          </w:tcPr>
          <w:p w14:paraId="0DA7C76D" w14:textId="5C965C74" w:rsidR="007D46C1" w:rsidRPr="007D46C1" w:rsidRDefault="007D46C1" w:rsidP="007D46C1">
            <w:pPr>
              <w:spacing w:line="240" w:lineRule="auto"/>
              <w:jc w:val="right"/>
              <w:rPr>
                <w:rFonts w:cs="Arial"/>
                <w:color w:val="000000"/>
                <w:szCs w:val="20"/>
                <w:lang w:val="sl-SI"/>
              </w:rPr>
            </w:pPr>
            <w:r w:rsidRPr="007D46C1">
              <w:rPr>
                <w:rFonts w:cs="Arial"/>
                <w:color w:val="000000"/>
                <w:szCs w:val="20"/>
                <w:lang w:val="sl-SI"/>
              </w:rPr>
              <w:t>585.096 €</w:t>
            </w:r>
          </w:p>
        </w:tc>
        <w:tc>
          <w:tcPr>
            <w:tcW w:w="1309" w:type="dxa"/>
            <w:tcBorders>
              <w:top w:val="nil"/>
              <w:left w:val="nil"/>
              <w:bottom w:val="single" w:sz="8" w:space="0" w:color="FFFFFF"/>
              <w:right w:val="single" w:sz="8" w:space="0" w:color="FFFFFF"/>
            </w:tcBorders>
            <w:shd w:val="clear" w:color="auto" w:fill="D9E2F3" w:themeFill="accent1" w:themeFillTint="33"/>
            <w:noWrap/>
            <w:vAlign w:val="center"/>
          </w:tcPr>
          <w:p w14:paraId="789A490E" w14:textId="365A556A" w:rsidR="007D46C1" w:rsidRPr="007D46C1" w:rsidRDefault="007D46C1" w:rsidP="007D46C1">
            <w:pPr>
              <w:spacing w:line="240" w:lineRule="auto"/>
              <w:jc w:val="right"/>
              <w:rPr>
                <w:rFonts w:cs="Arial"/>
                <w:color w:val="000000"/>
                <w:szCs w:val="20"/>
                <w:lang w:val="sl-SI"/>
              </w:rPr>
            </w:pPr>
            <w:r w:rsidRPr="007D46C1">
              <w:rPr>
                <w:rFonts w:cs="Arial"/>
                <w:color w:val="000000"/>
                <w:szCs w:val="20"/>
                <w:lang w:val="sl-SI"/>
              </w:rPr>
              <w:t>819.400 €</w:t>
            </w:r>
          </w:p>
        </w:tc>
        <w:tc>
          <w:tcPr>
            <w:tcW w:w="1242" w:type="dxa"/>
            <w:tcBorders>
              <w:top w:val="nil"/>
              <w:left w:val="nil"/>
              <w:bottom w:val="single" w:sz="8" w:space="0" w:color="FFFFFF"/>
              <w:right w:val="single" w:sz="8" w:space="0" w:color="FFFFFF"/>
            </w:tcBorders>
            <w:shd w:val="clear" w:color="auto" w:fill="D9E2F3" w:themeFill="accent1" w:themeFillTint="33"/>
            <w:noWrap/>
            <w:vAlign w:val="center"/>
          </w:tcPr>
          <w:p w14:paraId="51F1A196" w14:textId="713DBC10" w:rsidR="007D46C1" w:rsidRPr="007D46C1" w:rsidRDefault="007D46C1" w:rsidP="007D46C1">
            <w:pPr>
              <w:spacing w:line="240" w:lineRule="auto"/>
              <w:jc w:val="right"/>
              <w:rPr>
                <w:rFonts w:cs="Arial"/>
                <w:color w:val="000000"/>
                <w:szCs w:val="20"/>
                <w:lang w:val="sl-SI"/>
              </w:rPr>
            </w:pPr>
            <w:r w:rsidRPr="007D46C1">
              <w:rPr>
                <w:rFonts w:cs="Arial"/>
                <w:color w:val="000000"/>
                <w:szCs w:val="20"/>
                <w:lang w:val="sl-SI"/>
              </w:rPr>
              <w:t>1.040.200 €</w:t>
            </w:r>
          </w:p>
        </w:tc>
        <w:tc>
          <w:tcPr>
            <w:tcW w:w="1309" w:type="dxa"/>
            <w:tcBorders>
              <w:top w:val="nil"/>
              <w:left w:val="nil"/>
              <w:bottom w:val="single" w:sz="8" w:space="0" w:color="FFFFFF"/>
              <w:right w:val="single" w:sz="8" w:space="0" w:color="FFFFFF"/>
            </w:tcBorders>
            <w:shd w:val="clear" w:color="auto" w:fill="D9E2F3" w:themeFill="accent1" w:themeFillTint="33"/>
            <w:noWrap/>
            <w:vAlign w:val="center"/>
          </w:tcPr>
          <w:p w14:paraId="3DD0C8F1" w14:textId="3C22122B" w:rsidR="007D46C1" w:rsidRPr="007D46C1" w:rsidRDefault="007D46C1" w:rsidP="007D46C1">
            <w:pPr>
              <w:spacing w:line="240" w:lineRule="auto"/>
              <w:jc w:val="right"/>
              <w:rPr>
                <w:rFonts w:cs="Arial"/>
                <w:color w:val="000000"/>
                <w:szCs w:val="20"/>
                <w:lang w:val="sl-SI"/>
              </w:rPr>
            </w:pPr>
            <w:r w:rsidRPr="007D46C1">
              <w:rPr>
                <w:rFonts w:cs="Arial"/>
                <w:color w:val="000000"/>
                <w:szCs w:val="20"/>
                <w:lang w:val="sl-SI"/>
              </w:rPr>
              <w:t>1.509.000 €</w:t>
            </w:r>
          </w:p>
        </w:tc>
      </w:tr>
      <w:tr w:rsidR="007D46C1" w:rsidRPr="007D46C1" w14:paraId="0BCB72A7" w14:textId="77777777" w:rsidTr="00FA5E8F">
        <w:trPr>
          <w:trHeight w:val="300"/>
        </w:trPr>
        <w:tc>
          <w:tcPr>
            <w:tcW w:w="419" w:type="dxa"/>
            <w:tcBorders>
              <w:top w:val="single" w:sz="4" w:space="0" w:color="FFFFFF"/>
              <w:left w:val="nil"/>
              <w:bottom w:val="single" w:sz="4" w:space="0" w:color="FFFFFF"/>
              <w:right w:val="single" w:sz="4" w:space="0" w:color="FFFFFF"/>
            </w:tcBorders>
            <w:shd w:val="clear" w:color="auto" w:fill="D9E2F3" w:themeFill="accent1" w:themeFillTint="33"/>
            <w:noWrap/>
            <w:vAlign w:val="center"/>
          </w:tcPr>
          <w:p w14:paraId="3945D7B9" w14:textId="3A9C2B87" w:rsidR="007D46C1" w:rsidRPr="007D46C1" w:rsidRDefault="007D46C1" w:rsidP="007D46C1">
            <w:pPr>
              <w:spacing w:line="240" w:lineRule="auto"/>
              <w:jc w:val="right"/>
              <w:rPr>
                <w:rFonts w:cs="Arial"/>
                <w:color w:val="000000"/>
                <w:szCs w:val="20"/>
                <w:lang w:val="sl-SI" w:eastAsia="sl-SI"/>
              </w:rPr>
            </w:pPr>
            <w:r w:rsidRPr="007D46C1">
              <w:rPr>
                <w:rFonts w:cs="Arial"/>
                <w:color w:val="000000"/>
                <w:szCs w:val="20"/>
                <w:lang w:val="sl-SI" w:eastAsia="sl-SI"/>
              </w:rPr>
              <w:t>4</w:t>
            </w:r>
          </w:p>
        </w:tc>
        <w:tc>
          <w:tcPr>
            <w:tcW w:w="3586" w:type="dxa"/>
            <w:tcBorders>
              <w:top w:val="nil"/>
              <w:left w:val="nil"/>
              <w:bottom w:val="single" w:sz="8" w:space="0" w:color="FFFFFF"/>
              <w:right w:val="single" w:sz="8" w:space="0" w:color="FFFFFF"/>
            </w:tcBorders>
            <w:shd w:val="clear" w:color="auto" w:fill="D9E2F3" w:themeFill="accent1" w:themeFillTint="33"/>
            <w:noWrap/>
            <w:vAlign w:val="center"/>
          </w:tcPr>
          <w:p w14:paraId="4771B58A" w14:textId="39B5929A" w:rsidR="007D46C1" w:rsidRPr="007D46C1" w:rsidRDefault="007D46C1" w:rsidP="007D46C1">
            <w:pPr>
              <w:spacing w:line="240" w:lineRule="auto"/>
              <w:rPr>
                <w:rFonts w:cs="Arial"/>
                <w:color w:val="000000"/>
                <w:szCs w:val="20"/>
                <w:lang w:val="sl-SI" w:eastAsia="sl-SI"/>
              </w:rPr>
            </w:pPr>
            <w:r w:rsidRPr="007D46C1">
              <w:rPr>
                <w:rFonts w:cs="Arial"/>
                <w:color w:val="000000"/>
                <w:szCs w:val="20"/>
                <w:lang w:val="sl-SI"/>
              </w:rPr>
              <w:t>Dvig ravni informacijske varnosti</w:t>
            </w:r>
          </w:p>
        </w:tc>
        <w:tc>
          <w:tcPr>
            <w:tcW w:w="1325" w:type="dxa"/>
            <w:tcBorders>
              <w:top w:val="nil"/>
              <w:left w:val="nil"/>
              <w:bottom w:val="single" w:sz="8" w:space="0" w:color="FFFFFF"/>
              <w:right w:val="single" w:sz="8" w:space="0" w:color="FFFFFF"/>
            </w:tcBorders>
            <w:shd w:val="clear" w:color="auto" w:fill="D9E2F3" w:themeFill="accent1" w:themeFillTint="33"/>
            <w:noWrap/>
            <w:vAlign w:val="center"/>
          </w:tcPr>
          <w:p w14:paraId="704E4719" w14:textId="05C5E189" w:rsidR="007D46C1" w:rsidRPr="007D46C1" w:rsidRDefault="007D46C1" w:rsidP="007D46C1">
            <w:pPr>
              <w:spacing w:line="240" w:lineRule="auto"/>
              <w:jc w:val="right"/>
              <w:rPr>
                <w:rFonts w:cs="Arial"/>
                <w:color w:val="000000"/>
                <w:szCs w:val="20"/>
                <w:lang w:val="sl-SI"/>
              </w:rPr>
            </w:pPr>
            <w:r w:rsidRPr="007D46C1">
              <w:rPr>
                <w:rFonts w:cs="Arial"/>
                <w:color w:val="000000"/>
                <w:szCs w:val="20"/>
                <w:lang w:val="sl-SI"/>
              </w:rPr>
              <w:t>217.456 €</w:t>
            </w:r>
          </w:p>
        </w:tc>
        <w:tc>
          <w:tcPr>
            <w:tcW w:w="1309" w:type="dxa"/>
            <w:tcBorders>
              <w:top w:val="nil"/>
              <w:left w:val="nil"/>
              <w:bottom w:val="single" w:sz="8" w:space="0" w:color="FFFFFF"/>
              <w:right w:val="single" w:sz="8" w:space="0" w:color="FFFFFF"/>
            </w:tcBorders>
            <w:shd w:val="clear" w:color="000000" w:fill="D9E1F2"/>
            <w:noWrap/>
            <w:vAlign w:val="center"/>
          </w:tcPr>
          <w:p w14:paraId="060A6D5E" w14:textId="7FE6DF19" w:rsidR="007D46C1" w:rsidRPr="007D46C1" w:rsidRDefault="007D46C1" w:rsidP="007D46C1">
            <w:pPr>
              <w:spacing w:line="240" w:lineRule="auto"/>
              <w:jc w:val="right"/>
              <w:rPr>
                <w:rFonts w:cs="Arial"/>
                <w:color w:val="000000"/>
                <w:szCs w:val="20"/>
                <w:lang w:val="sl-SI" w:eastAsia="sl-SI"/>
              </w:rPr>
            </w:pPr>
            <w:r w:rsidRPr="007D46C1">
              <w:rPr>
                <w:rFonts w:cs="Arial"/>
                <w:color w:val="000000"/>
                <w:szCs w:val="20"/>
                <w:lang w:val="sl-SI" w:eastAsia="sl-SI"/>
              </w:rPr>
              <w:t>845.000 €</w:t>
            </w:r>
          </w:p>
        </w:tc>
        <w:tc>
          <w:tcPr>
            <w:tcW w:w="1242" w:type="dxa"/>
            <w:tcBorders>
              <w:top w:val="nil"/>
              <w:left w:val="nil"/>
              <w:bottom w:val="single" w:sz="8" w:space="0" w:color="FFFFFF"/>
              <w:right w:val="single" w:sz="8" w:space="0" w:color="FFFFFF"/>
            </w:tcBorders>
            <w:shd w:val="clear" w:color="000000" w:fill="D9E1F2"/>
            <w:noWrap/>
            <w:vAlign w:val="center"/>
          </w:tcPr>
          <w:p w14:paraId="5912562F" w14:textId="7761F3FA" w:rsidR="007D46C1" w:rsidRPr="007D46C1" w:rsidRDefault="007D46C1" w:rsidP="007D46C1">
            <w:pPr>
              <w:spacing w:line="240" w:lineRule="auto"/>
              <w:jc w:val="right"/>
              <w:rPr>
                <w:rFonts w:cs="Arial"/>
                <w:color w:val="000000"/>
                <w:szCs w:val="20"/>
                <w:lang w:val="sl-SI" w:eastAsia="sl-SI"/>
              </w:rPr>
            </w:pPr>
            <w:r w:rsidRPr="007D46C1">
              <w:rPr>
                <w:rFonts w:cs="Arial"/>
                <w:color w:val="000000"/>
                <w:szCs w:val="20"/>
                <w:lang w:val="sl-SI" w:eastAsia="sl-SI"/>
              </w:rPr>
              <w:t>958.500 €</w:t>
            </w:r>
          </w:p>
        </w:tc>
        <w:tc>
          <w:tcPr>
            <w:tcW w:w="1309" w:type="dxa"/>
            <w:tcBorders>
              <w:top w:val="nil"/>
              <w:left w:val="nil"/>
              <w:bottom w:val="single" w:sz="8" w:space="0" w:color="FFFFFF"/>
              <w:right w:val="single" w:sz="8" w:space="0" w:color="FFFFFF"/>
            </w:tcBorders>
            <w:shd w:val="clear" w:color="000000" w:fill="D9E1F2"/>
            <w:noWrap/>
            <w:vAlign w:val="center"/>
          </w:tcPr>
          <w:p w14:paraId="2F813B44" w14:textId="1A5B40E5" w:rsidR="007D46C1" w:rsidRPr="007D46C1" w:rsidRDefault="007D46C1" w:rsidP="007D46C1">
            <w:pPr>
              <w:spacing w:line="240" w:lineRule="auto"/>
              <w:jc w:val="right"/>
              <w:rPr>
                <w:rFonts w:cs="Arial"/>
                <w:color w:val="000000"/>
                <w:szCs w:val="20"/>
                <w:lang w:val="sl-SI" w:eastAsia="sl-SI"/>
              </w:rPr>
            </w:pPr>
            <w:r w:rsidRPr="007D46C1">
              <w:rPr>
                <w:rFonts w:cs="Arial"/>
                <w:color w:val="000000"/>
                <w:szCs w:val="20"/>
                <w:lang w:val="sl-SI" w:eastAsia="sl-SI"/>
              </w:rPr>
              <w:t>1.049.350 €</w:t>
            </w:r>
          </w:p>
        </w:tc>
      </w:tr>
      <w:tr w:rsidR="007D46C1" w:rsidRPr="006D1761" w14:paraId="619EECAF" w14:textId="77777777" w:rsidTr="00FA5E8F">
        <w:trPr>
          <w:trHeight w:val="300"/>
        </w:trPr>
        <w:tc>
          <w:tcPr>
            <w:tcW w:w="419" w:type="dxa"/>
            <w:tcBorders>
              <w:top w:val="single" w:sz="4" w:space="0" w:color="FFFFFF"/>
              <w:left w:val="nil"/>
              <w:bottom w:val="nil"/>
              <w:right w:val="single" w:sz="4" w:space="0" w:color="FFFFFF"/>
            </w:tcBorders>
            <w:shd w:val="clear" w:color="auto" w:fill="5B9BD5" w:themeFill="accent5"/>
            <w:noWrap/>
            <w:vAlign w:val="center"/>
            <w:hideMark/>
          </w:tcPr>
          <w:p w14:paraId="1C11283D" w14:textId="77777777" w:rsidR="007D46C1" w:rsidRPr="006D1761" w:rsidRDefault="007D46C1" w:rsidP="007D46C1">
            <w:pPr>
              <w:spacing w:line="240" w:lineRule="auto"/>
              <w:rPr>
                <w:rFonts w:cs="Arial"/>
                <w:color w:val="FFFFFF" w:themeColor="background1"/>
                <w:szCs w:val="20"/>
                <w:lang w:val="sl-SI" w:eastAsia="sl-SI"/>
              </w:rPr>
            </w:pPr>
          </w:p>
        </w:tc>
        <w:tc>
          <w:tcPr>
            <w:tcW w:w="3586" w:type="dxa"/>
            <w:tcBorders>
              <w:top w:val="single" w:sz="4" w:space="0" w:color="FFFFFF"/>
              <w:left w:val="single" w:sz="4" w:space="0" w:color="FFFFFF"/>
              <w:bottom w:val="nil"/>
              <w:right w:val="single" w:sz="4" w:space="0" w:color="FFFFFF"/>
            </w:tcBorders>
            <w:shd w:val="clear" w:color="auto" w:fill="5B9BD5" w:themeFill="accent5"/>
            <w:noWrap/>
            <w:vAlign w:val="center"/>
            <w:hideMark/>
          </w:tcPr>
          <w:p w14:paraId="59416B06" w14:textId="77777777" w:rsidR="007D46C1" w:rsidRPr="006D1761" w:rsidRDefault="007D46C1" w:rsidP="007D46C1">
            <w:pPr>
              <w:spacing w:line="240" w:lineRule="auto"/>
              <w:rPr>
                <w:rFonts w:cs="Arial"/>
                <w:b/>
                <w:bCs/>
                <w:color w:val="FFFFFF" w:themeColor="background1"/>
                <w:szCs w:val="20"/>
                <w:lang w:val="sl-SI" w:eastAsia="sl-SI"/>
              </w:rPr>
            </w:pPr>
            <w:r w:rsidRPr="006D1761">
              <w:rPr>
                <w:rFonts w:cs="Arial"/>
                <w:b/>
                <w:bCs/>
                <w:color w:val="FFFFFF" w:themeColor="background1"/>
                <w:szCs w:val="20"/>
                <w:lang w:val="sl-SI" w:eastAsia="sl-SI"/>
              </w:rPr>
              <w:t>Skupaj</w:t>
            </w:r>
          </w:p>
        </w:tc>
        <w:tc>
          <w:tcPr>
            <w:tcW w:w="1325" w:type="dxa"/>
            <w:tcBorders>
              <w:top w:val="nil"/>
              <w:left w:val="nil"/>
              <w:bottom w:val="nil"/>
              <w:right w:val="single" w:sz="8" w:space="0" w:color="FFFFFF"/>
            </w:tcBorders>
            <w:shd w:val="clear" w:color="000000" w:fill="5B9BD5"/>
            <w:noWrap/>
            <w:vAlign w:val="center"/>
            <w:hideMark/>
          </w:tcPr>
          <w:p w14:paraId="3DB3AE3B" w14:textId="21DE530A" w:rsidR="007D46C1" w:rsidRPr="00A5609C" w:rsidRDefault="007D46C1" w:rsidP="007D46C1">
            <w:pPr>
              <w:spacing w:line="240" w:lineRule="auto"/>
              <w:jc w:val="right"/>
              <w:rPr>
                <w:rFonts w:cs="Arial"/>
                <w:color w:val="FFFFFF" w:themeColor="background1"/>
                <w:szCs w:val="20"/>
                <w:lang w:val="sl-SI" w:eastAsia="sl-SI"/>
              </w:rPr>
            </w:pPr>
            <w:r w:rsidRPr="00A5609C">
              <w:rPr>
                <w:rFonts w:cs="Arial"/>
                <w:color w:val="FFFFFF" w:themeColor="background1"/>
                <w:szCs w:val="20"/>
              </w:rPr>
              <w:t>3.325.398 €</w:t>
            </w:r>
          </w:p>
        </w:tc>
        <w:tc>
          <w:tcPr>
            <w:tcW w:w="1309" w:type="dxa"/>
            <w:tcBorders>
              <w:top w:val="nil"/>
              <w:left w:val="nil"/>
              <w:bottom w:val="nil"/>
              <w:right w:val="single" w:sz="8" w:space="0" w:color="FFFFFF"/>
            </w:tcBorders>
            <w:shd w:val="clear" w:color="000000" w:fill="5B9BD5"/>
            <w:noWrap/>
            <w:vAlign w:val="center"/>
            <w:hideMark/>
          </w:tcPr>
          <w:p w14:paraId="312FDA3C" w14:textId="28D8368D" w:rsidR="007D46C1" w:rsidRPr="00A5609C" w:rsidRDefault="007D46C1" w:rsidP="007D46C1">
            <w:pPr>
              <w:spacing w:line="240" w:lineRule="auto"/>
              <w:jc w:val="right"/>
              <w:rPr>
                <w:rFonts w:cs="Arial"/>
                <w:color w:val="FFFFFF" w:themeColor="background1"/>
                <w:szCs w:val="20"/>
                <w:lang w:val="sl-SI" w:eastAsia="sl-SI"/>
              </w:rPr>
            </w:pPr>
            <w:r w:rsidRPr="007D46C1">
              <w:rPr>
                <w:rFonts w:cs="Arial"/>
                <w:b/>
                <w:bCs/>
                <w:color w:val="FFFFFF"/>
                <w:szCs w:val="20"/>
                <w:lang w:val="sl-SI" w:eastAsia="sl-SI"/>
              </w:rPr>
              <w:t>4.363.400 €</w:t>
            </w:r>
          </w:p>
        </w:tc>
        <w:tc>
          <w:tcPr>
            <w:tcW w:w="1242" w:type="dxa"/>
            <w:tcBorders>
              <w:top w:val="nil"/>
              <w:left w:val="nil"/>
              <w:bottom w:val="nil"/>
              <w:right w:val="single" w:sz="8" w:space="0" w:color="FFFFFF"/>
            </w:tcBorders>
            <w:shd w:val="clear" w:color="000000" w:fill="5B9BD5"/>
            <w:noWrap/>
            <w:vAlign w:val="center"/>
            <w:hideMark/>
          </w:tcPr>
          <w:p w14:paraId="13D4109B" w14:textId="7CEAF0C0" w:rsidR="007D46C1" w:rsidRPr="00A5609C" w:rsidRDefault="007D46C1" w:rsidP="007D46C1">
            <w:pPr>
              <w:spacing w:line="240" w:lineRule="auto"/>
              <w:jc w:val="right"/>
              <w:rPr>
                <w:rFonts w:cs="Arial"/>
                <w:color w:val="FFFFFF" w:themeColor="background1"/>
                <w:szCs w:val="20"/>
                <w:lang w:val="sl-SI" w:eastAsia="sl-SI"/>
              </w:rPr>
            </w:pPr>
            <w:r w:rsidRPr="007D46C1">
              <w:rPr>
                <w:rFonts w:cs="Arial"/>
                <w:b/>
                <w:bCs/>
                <w:color w:val="FFFFFF"/>
                <w:szCs w:val="20"/>
                <w:lang w:val="sl-SI" w:eastAsia="sl-SI"/>
              </w:rPr>
              <w:t>5.462.700 €</w:t>
            </w:r>
          </w:p>
        </w:tc>
        <w:tc>
          <w:tcPr>
            <w:tcW w:w="1309" w:type="dxa"/>
            <w:tcBorders>
              <w:top w:val="nil"/>
              <w:left w:val="nil"/>
              <w:bottom w:val="nil"/>
              <w:right w:val="single" w:sz="8" w:space="0" w:color="FFFFFF"/>
            </w:tcBorders>
            <w:shd w:val="clear" w:color="000000" w:fill="5B9BD5"/>
            <w:noWrap/>
            <w:vAlign w:val="center"/>
            <w:hideMark/>
          </w:tcPr>
          <w:p w14:paraId="498DD7DC" w14:textId="41936239" w:rsidR="007D46C1" w:rsidRPr="00A5609C" w:rsidRDefault="007D46C1" w:rsidP="007D46C1">
            <w:pPr>
              <w:spacing w:line="240" w:lineRule="auto"/>
              <w:jc w:val="right"/>
              <w:rPr>
                <w:rFonts w:cs="Arial"/>
                <w:color w:val="FFFFFF" w:themeColor="background1"/>
                <w:szCs w:val="20"/>
                <w:lang w:val="sl-SI" w:eastAsia="sl-SI"/>
              </w:rPr>
            </w:pPr>
            <w:r w:rsidRPr="007D46C1">
              <w:rPr>
                <w:rFonts w:cs="Arial"/>
                <w:b/>
                <w:bCs/>
                <w:color w:val="FFFFFF"/>
                <w:szCs w:val="20"/>
                <w:lang w:val="sl-SI" w:eastAsia="sl-SI"/>
              </w:rPr>
              <w:t>6.530.350 €</w:t>
            </w:r>
          </w:p>
        </w:tc>
      </w:tr>
    </w:tbl>
    <w:p w14:paraId="55724DCF" w14:textId="6EAF78FA" w:rsidR="00457E55" w:rsidRPr="006D1761" w:rsidRDefault="00457E55" w:rsidP="00457E55">
      <w:pPr>
        <w:spacing w:before="120" w:after="120" w:line="300" w:lineRule="atLeast"/>
        <w:jc w:val="both"/>
        <w:rPr>
          <w:rFonts w:cs="Arial"/>
          <w:szCs w:val="20"/>
          <w:lang w:val="sl-SI" w:eastAsia="sl-SI"/>
        </w:rPr>
      </w:pPr>
      <w:r w:rsidRPr="006D1761">
        <w:rPr>
          <w:rFonts w:cs="Arial"/>
          <w:szCs w:val="20"/>
          <w:lang w:val="sl-SI" w:eastAsia="sl-SI"/>
        </w:rPr>
        <w:t>Ocena temelji na projekciji končnega števila novih zaposlitev po letih, in sicer v letu 20</w:t>
      </w:r>
      <w:r w:rsidR="009A0C5B" w:rsidRPr="006D1761">
        <w:rPr>
          <w:rFonts w:cs="Arial"/>
          <w:szCs w:val="20"/>
          <w:lang w:val="sl-SI" w:eastAsia="sl-SI"/>
        </w:rPr>
        <w:t>24</w:t>
      </w:r>
      <w:r w:rsidRPr="006D1761">
        <w:rPr>
          <w:rFonts w:cs="Arial"/>
          <w:szCs w:val="20"/>
          <w:lang w:val="sl-SI" w:eastAsia="sl-SI"/>
        </w:rPr>
        <w:t xml:space="preserve"> </w:t>
      </w:r>
      <w:r w:rsidR="009A0C5B" w:rsidRPr="006D1761">
        <w:rPr>
          <w:rFonts w:cs="Arial"/>
          <w:szCs w:val="20"/>
          <w:lang w:val="sl-SI" w:eastAsia="sl-SI"/>
        </w:rPr>
        <w:t>36</w:t>
      </w:r>
      <w:r w:rsidRPr="006D1761">
        <w:rPr>
          <w:rFonts w:cs="Arial"/>
          <w:szCs w:val="20"/>
          <w:lang w:val="sl-SI" w:eastAsia="sl-SI"/>
        </w:rPr>
        <w:t>, v letu 20</w:t>
      </w:r>
      <w:r w:rsidR="009A0C5B" w:rsidRPr="006D1761">
        <w:rPr>
          <w:rFonts w:cs="Arial"/>
          <w:szCs w:val="20"/>
          <w:lang w:val="sl-SI" w:eastAsia="sl-SI"/>
        </w:rPr>
        <w:t>2</w:t>
      </w:r>
      <w:r w:rsidR="00A5609C">
        <w:rPr>
          <w:rFonts w:cs="Arial"/>
          <w:szCs w:val="20"/>
          <w:lang w:val="sl-SI" w:eastAsia="sl-SI"/>
        </w:rPr>
        <w:t>5</w:t>
      </w:r>
      <w:r w:rsidRPr="006D1761">
        <w:rPr>
          <w:rFonts w:cs="Arial"/>
          <w:szCs w:val="20"/>
          <w:lang w:val="sl-SI" w:eastAsia="sl-SI"/>
        </w:rPr>
        <w:t xml:space="preserve"> </w:t>
      </w:r>
      <w:r w:rsidR="007D46C1">
        <w:rPr>
          <w:rFonts w:cs="Arial"/>
          <w:szCs w:val="20"/>
          <w:lang w:val="sl-SI" w:eastAsia="sl-SI"/>
        </w:rPr>
        <w:t>45</w:t>
      </w:r>
      <w:r w:rsidR="009A0C5B" w:rsidRPr="006D1761">
        <w:rPr>
          <w:rFonts w:cs="Arial"/>
          <w:szCs w:val="20"/>
          <w:lang w:val="sl-SI" w:eastAsia="sl-SI"/>
        </w:rPr>
        <w:t xml:space="preserve">, v letu 2026 </w:t>
      </w:r>
      <w:r w:rsidR="007D46C1">
        <w:rPr>
          <w:rFonts w:cs="Arial"/>
          <w:szCs w:val="20"/>
          <w:lang w:val="sl-SI" w:eastAsia="sl-SI"/>
        </w:rPr>
        <w:t>60</w:t>
      </w:r>
      <w:r w:rsidRPr="006D1761">
        <w:rPr>
          <w:rFonts w:cs="Arial"/>
          <w:szCs w:val="20"/>
          <w:lang w:val="sl-SI" w:eastAsia="sl-SI"/>
        </w:rPr>
        <w:t xml:space="preserve"> in 202</w:t>
      </w:r>
      <w:r w:rsidR="009A0C5B" w:rsidRPr="006D1761">
        <w:rPr>
          <w:rFonts w:cs="Arial"/>
          <w:szCs w:val="20"/>
          <w:lang w:val="sl-SI" w:eastAsia="sl-SI"/>
        </w:rPr>
        <w:t>7</w:t>
      </w:r>
      <w:r w:rsidRPr="006D1761">
        <w:rPr>
          <w:rFonts w:cs="Arial"/>
          <w:szCs w:val="20"/>
          <w:lang w:val="sl-SI" w:eastAsia="sl-SI"/>
        </w:rPr>
        <w:t xml:space="preserve"> </w:t>
      </w:r>
      <w:r w:rsidR="007D46C1">
        <w:rPr>
          <w:rFonts w:cs="Arial"/>
          <w:szCs w:val="20"/>
          <w:lang w:val="sl-SI" w:eastAsia="sl-SI"/>
        </w:rPr>
        <w:t>70</w:t>
      </w:r>
      <w:r w:rsidRPr="006D1761">
        <w:rPr>
          <w:rFonts w:cs="Arial"/>
          <w:szCs w:val="20"/>
          <w:lang w:val="sl-SI" w:eastAsia="sl-SI"/>
        </w:rPr>
        <w:t xml:space="preserve"> zaposlitev, in pripadajočih stroških ter stroških za investicije v strojno in programsko opremo, ne vključuje pa stroškov nakupa oziroma pridobitve prostorov. V letu 20</w:t>
      </w:r>
      <w:r w:rsidR="009A0C5B" w:rsidRPr="006D1761">
        <w:rPr>
          <w:rFonts w:cs="Arial"/>
          <w:szCs w:val="20"/>
          <w:lang w:val="sl-SI" w:eastAsia="sl-SI"/>
        </w:rPr>
        <w:t>24</w:t>
      </w:r>
      <w:r w:rsidRPr="006D1761">
        <w:rPr>
          <w:rFonts w:cs="Arial"/>
          <w:szCs w:val="20"/>
          <w:lang w:val="sl-SI" w:eastAsia="sl-SI"/>
        </w:rPr>
        <w:t xml:space="preserve"> </w:t>
      </w:r>
      <w:r w:rsidR="009A0C5B" w:rsidRPr="006D1761">
        <w:rPr>
          <w:rFonts w:cs="Arial"/>
          <w:szCs w:val="20"/>
          <w:lang w:val="sl-SI" w:eastAsia="sl-SI"/>
        </w:rPr>
        <w:t>je</w:t>
      </w:r>
      <w:r w:rsidRPr="006D1761">
        <w:rPr>
          <w:rFonts w:cs="Arial"/>
          <w:szCs w:val="20"/>
          <w:lang w:val="sl-SI" w:eastAsia="sl-SI"/>
        </w:rPr>
        <w:t xml:space="preserve"> za namen opravljanja nalog PNO na </w:t>
      </w:r>
      <w:r w:rsidR="009A0C5B" w:rsidRPr="006D1761">
        <w:rPr>
          <w:rFonts w:cs="Arial"/>
          <w:szCs w:val="20"/>
          <w:lang w:val="sl-SI" w:eastAsia="sl-SI"/>
        </w:rPr>
        <w:t>URSIV</w:t>
      </w:r>
      <w:r w:rsidRPr="006D1761">
        <w:rPr>
          <w:rFonts w:cs="Arial"/>
          <w:szCs w:val="20"/>
          <w:lang w:val="sl-SI" w:eastAsia="sl-SI"/>
        </w:rPr>
        <w:t>, vključno z administrativno podporo (kadrovsko, finančno, pravno) predviden</w:t>
      </w:r>
      <w:r w:rsidR="009A0C5B" w:rsidRPr="006D1761">
        <w:rPr>
          <w:rFonts w:cs="Arial"/>
          <w:szCs w:val="20"/>
          <w:lang w:val="sl-SI" w:eastAsia="sl-SI"/>
        </w:rPr>
        <w:t xml:space="preserve">ih sedem novih </w:t>
      </w:r>
      <w:r w:rsidRPr="006D1761">
        <w:rPr>
          <w:rFonts w:cs="Arial"/>
          <w:szCs w:val="20"/>
          <w:lang w:val="sl-SI" w:eastAsia="sl-SI"/>
        </w:rPr>
        <w:t xml:space="preserve">zaposlitve. Potrebna finančna sredstva v višini </w:t>
      </w:r>
      <w:r w:rsidR="00A5609C" w:rsidRPr="0085445B">
        <w:rPr>
          <w:rFonts w:cs="Arial"/>
          <w:szCs w:val="20"/>
          <w:lang w:val="sl-SI" w:eastAsia="sl-SI"/>
        </w:rPr>
        <w:t xml:space="preserve">3.325.398 </w:t>
      </w:r>
      <w:r w:rsidRPr="006D1761">
        <w:rPr>
          <w:rFonts w:cs="Arial"/>
          <w:szCs w:val="20"/>
          <w:lang w:val="sl-SI" w:eastAsia="sl-SI"/>
        </w:rPr>
        <w:t>eurov za leto 20</w:t>
      </w:r>
      <w:r w:rsidR="009A0C5B" w:rsidRPr="006D1761">
        <w:rPr>
          <w:rFonts w:cs="Arial"/>
          <w:szCs w:val="20"/>
          <w:lang w:val="sl-SI" w:eastAsia="sl-SI"/>
        </w:rPr>
        <w:t>24</w:t>
      </w:r>
      <w:r w:rsidRPr="006D1761">
        <w:rPr>
          <w:rFonts w:cs="Arial"/>
          <w:szCs w:val="20"/>
          <w:lang w:val="sl-SI" w:eastAsia="sl-SI"/>
        </w:rPr>
        <w:t xml:space="preserve"> za </w:t>
      </w:r>
      <w:r w:rsidR="009A0C5B" w:rsidRPr="006D1761">
        <w:rPr>
          <w:rFonts w:cs="Arial"/>
          <w:szCs w:val="20"/>
          <w:lang w:val="sl-SI" w:eastAsia="sl-SI"/>
        </w:rPr>
        <w:t>delovanje PNO in pripravo na izvajanje novih</w:t>
      </w:r>
      <w:r w:rsidRPr="006D1761">
        <w:rPr>
          <w:rFonts w:cs="Arial"/>
          <w:szCs w:val="20"/>
          <w:lang w:val="sl-SI" w:eastAsia="sl-SI"/>
        </w:rPr>
        <w:t xml:space="preserve"> naloge iz tega zakona </w:t>
      </w:r>
      <w:r w:rsidR="009A0C5B" w:rsidRPr="006D1761">
        <w:rPr>
          <w:rFonts w:cs="Arial"/>
          <w:szCs w:val="20"/>
          <w:lang w:val="sl-SI" w:eastAsia="sl-SI"/>
        </w:rPr>
        <w:t xml:space="preserve">so </w:t>
      </w:r>
      <w:r w:rsidRPr="006D1761">
        <w:rPr>
          <w:rFonts w:cs="Arial"/>
          <w:szCs w:val="20"/>
          <w:lang w:val="sl-SI" w:eastAsia="sl-SI"/>
        </w:rPr>
        <w:t>zagotov</w:t>
      </w:r>
      <w:r w:rsidR="009A0C5B" w:rsidRPr="006D1761">
        <w:rPr>
          <w:rFonts w:cs="Arial"/>
          <w:szCs w:val="20"/>
          <w:lang w:val="sl-SI" w:eastAsia="sl-SI"/>
        </w:rPr>
        <w:t>ljena v proračunu URSIV</w:t>
      </w:r>
      <w:r w:rsidRPr="006D1761">
        <w:rPr>
          <w:rFonts w:cs="Arial"/>
          <w:szCs w:val="20"/>
          <w:lang w:val="sl-SI" w:eastAsia="sl-SI"/>
        </w:rPr>
        <w:t xml:space="preserve">. </w:t>
      </w:r>
    </w:p>
    <w:p w14:paraId="1D1FE8E6" w14:textId="74AA8E51" w:rsidR="00457E55" w:rsidRPr="006D1761" w:rsidRDefault="00457E55" w:rsidP="00457E55">
      <w:pPr>
        <w:spacing w:before="120" w:line="300" w:lineRule="atLeast"/>
        <w:jc w:val="both"/>
        <w:rPr>
          <w:rFonts w:cs="Arial"/>
          <w:szCs w:val="20"/>
          <w:highlight w:val="yellow"/>
          <w:lang w:val="sl-SI" w:eastAsia="sl-SI"/>
        </w:rPr>
      </w:pPr>
      <w:r w:rsidRPr="006D1761">
        <w:rPr>
          <w:rFonts w:cs="Arial"/>
          <w:szCs w:val="20"/>
          <w:lang w:val="sl-SI"/>
        </w:rPr>
        <w:t>V letu 20</w:t>
      </w:r>
      <w:r w:rsidR="009A0C5B" w:rsidRPr="006D1761">
        <w:rPr>
          <w:rFonts w:cs="Arial"/>
          <w:szCs w:val="20"/>
          <w:lang w:val="sl-SI"/>
        </w:rPr>
        <w:t>25</w:t>
      </w:r>
      <w:r w:rsidRPr="006D1761">
        <w:rPr>
          <w:rFonts w:cs="Arial"/>
          <w:szCs w:val="20"/>
          <w:lang w:val="sl-SI"/>
        </w:rPr>
        <w:t xml:space="preserve"> so za namen opravljanja nalog PNO predvidene še nove zaposlitve</w:t>
      </w:r>
      <w:r w:rsidR="009A0C5B" w:rsidRPr="006D1761">
        <w:rPr>
          <w:rFonts w:cs="Arial"/>
          <w:szCs w:val="20"/>
          <w:lang w:val="sl-SI"/>
        </w:rPr>
        <w:t>, ki bodo realizirane v krepitvi Inšpekcije za informacijsko varnost</w:t>
      </w:r>
      <w:r w:rsidR="00A5609C">
        <w:rPr>
          <w:rFonts w:cs="Arial"/>
          <w:szCs w:val="20"/>
          <w:lang w:val="sl-SI"/>
        </w:rPr>
        <w:t>, Sektorja za informacijsko in kibernetsko varnost ter</w:t>
      </w:r>
      <w:r w:rsidR="009A0C5B" w:rsidRPr="006D1761">
        <w:rPr>
          <w:rFonts w:cs="Arial"/>
          <w:szCs w:val="20"/>
          <w:lang w:val="sl-SI"/>
        </w:rPr>
        <w:t xml:space="preserve"> SIGOV-CERT.</w:t>
      </w:r>
      <w:r w:rsidRPr="006D1761">
        <w:rPr>
          <w:rFonts w:cs="Arial"/>
          <w:szCs w:val="20"/>
          <w:lang w:val="sl-SI"/>
        </w:rPr>
        <w:t xml:space="preserve"> </w:t>
      </w:r>
      <w:r w:rsidRPr="006D1761">
        <w:rPr>
          <w:rFonts w:cs="Arial"/>
          <w:szCs w:val="20"/>
          <w:lang w:val="sl-SI" w:eastAsia="sl-SI"/>
        </w:rPr>
        <w:t xml:space="preserve">Presoja zagotovitve dodatnih zaposlitev bo izvedena v skladu </w:t>
      </w:r>
      <w:r w:rsidR="009A0C5B" w:rsidRPr="006D1761">
        <w:rPr>
          <w:rFonts w:cs="Arial"/>
          <w:szCs w:val="20"/>
          <w:lang w:val="sl-SI" w:eastAsia="sl-SI"/>
        </w:rPr>
        <w:t>s s</w:t>
      </w:r>
      <w:r w:rsidRPr="006D1761">
        <w:rPr>
          <w:rFonts w:cs="Arial"/>
          <w:szCs w:val="20"/>
          <w:lang w:val="sl-SI" w:eastAsia="sl-SI"/>
        </w:rPr>
        <w:t>prejet</w:t>
      </w:r>
      <w:r w:rsidR="009A0C5B" w:rsidRPr="006D1761">
        <w:rPr>
          <w:rFonts w:cs="Arial"/>
          <w:szCs w:val="20"/>
          <w:lang w:val="sl-SI" w:eastAsia="sl-SI"/>
        </w:rPr>
        <w:t>jem</w:t>
      </w:r>
      <w:r w:rsidRPr="006D1761">
        <w:rPr>
          <w:rFonts w:cs="Arial"/>
          <w:szCs w:val="20"/>
          <w:lang w:val="sl-SI" w:eastAsia="sl-SI"/>
        </w:rPr>
        <w:t xml:space="preserve"> Zakona o izvrševanju proračuna RS za leti 20</w:t>
      </w:r>
      <w:r w:rsidR="009A0C5B" w:rsidRPr="006D1761">
        <w:rPr>
          <w:rFonts w:cs="Arial"/>
          <w:szCs w:val="20"/>
          <w:lang w:val="sl-SI" w:eastAsia="sl-SI"/>
        </w:rPr>
        <w:t>25</w:t>
      </w:r>
      <w:r w:rsidRPr="006D1761">
        <w:rPr>
          <w:rFonts w:cs="Arial"/>
          <w:szCs w:val="20"/>
          <w:lang w:val="sl-SI" w:eastAsia="sl-SI"/>
        </w:rPr>
        <w:t xml:space="preserve"> in 20</w:t>
      </w:r>
      <w:r w:rsidR="009A0C5B" w:rsidRPr="006D1761">
        <w:rPr>
          <w:rFonts w:cs="Arial"/>
          <w:szCs w:val="20"/>
          <w:lang w:val="sl-SI" w:eastAsia="sl-SI"/>
        </w:rPr>
        <w:t>26</w:t>
      </w:r>
      <w:r w:rsidRPr="006D1761">
        <w:rPr>
          <w:rFonts w:cs="Arial"/>
          <w:szCs w:val="20"/>
          <w:lang w:val="sl-SI" w:eastAsia="sl-SI"/>
        </w:rPr>
        <w:t xml:space="preserve"> ter sprejetimi sklepi Vlade RS o kadrovskih načrtih organov državne uprave. </w:t>
      </w:r>
    </w:p>
    <w:p w14:paraId="255D6B0F" w14:textId="737DF691" w:rsidR="00725BD6" w:rsidRPr="006D1761" w:rsidRDefault="00457E55" w:rsidP="00457E55">
      <w:pPr>
        <w:spacing w:before="120" w:line="300" w:lineRule="atLeast"/>
        <w:jc w:val="both"/>
        <w:rPr>
          <w:rFonts w:cs="Arial"/>
          <w:szCs w:val="20"/>
          <w:lang w:val="sl-SI" w:eastAsia="sl-SI"/>
        </w:rPr>
      </w:pPr>
      <w:r w:rsidRPr="006D1761">
        <w:rPr>
          <w:rFonts w:cs="Arial"/>
          <w:szCs w:val="20"/>
          <w:lang w:val="sl-SI"/>
        </w:rPr>
        <w:t>V letu 202</w:t>
      </w:r>
      <w:r w:rsidR="009A0C5B" w:rsidRPr="006D1761">
        <w:rPr>
          <w:rFonts w:cs="Arial"/>
          <w:szCs w:val="20"/>
          <w:lang w:val="sl-SI"/>
        </w:rPr>
        <w:t>6</w:t>
      </w:r>
      <w:r w:rsidR="00A5609C">
        <w:rPr>
          <w:rFonts w:cs="Arial"/>
          <w:szCs w:val="20"/>
          <w:lang w:val="sl-SI"/>
        </w:rPr>
        <w:t xml:space="preserve"> </w:t>
      </w:r>
      <w:r w:rsidRPr="006D1761">
        <w:rPr>
          <w:rFonts w:cs="Arial"/>
          <w:szCs w:val="20"/>
          <w:lang w:val="sl-SI"/>
        </w:rPr>
        <w:t>je predviden</w:t>
      </w:r>
      <w:r w:rsidR="00A5609C">
        <w:rPr>
          <w:rFonts w:cs="Arial"/>
          <w:szCs w:val="20"/>
          <w:lang w:val="sl-SI"/>
        </w:rPr>
        <w:t>a nadaljnja kadrovska krepitev</w:t>
      </w:r>
      <w:r w:rsidRPr="006D1761">
        <w:rPr>
          <w:rFonts w:cs="Arial"/>
          <w:szCs w:val="20"/>
          <w:lang w:val="sl-SI"/>
        </w:rPr>
        <w:t xml:space="preserve">, </w:t>
      </w:r>
      <w:r w:rsidR="009A0C5B" w:rsidRPr="006D1761">
        <w:rPr>
          <w:rFonts w:cs="Arial"/>
          <w:szCs w:val="20"/>
          <w:lang w:val="sl-SI"/>
        </w:rPr>
        <w:t xml:space="preserve">s katerimi bomo </w:t>
      </w:r>
      <w:r w:rsidR="00A5609C">
        <w:rPr>
          <w:rFonts w:cs="Arial"/>
          <w:szCs w:val="20"/>
          <w:lang w:val="sl-SI"/>
        </w:rPr>
        <w:t xml:space="preserve">prednost </w:t>
      </w:r>
      <w:r w:rsidR="009A0C5B" w:rsidRPr="006D1761">
        <w:rPr>
          <w:rFonts w:cs="Arial"/>
          <w:szCs w:val="20"/>
          <w:lang w:val="sl-SI"/>
        </w:rPr>
        <w:t>okrepili delovanje</w:t>
      </w:r>
      <w:r w:rsidR="00725BD6" w:rsidRPr="006D1761">
        <w:rPr>
          <w:rFonts w:cs="Arial"/>
          <w:szCs w:val="20"/>
          <w:lang w:val="sl-SI"/>
        </w:rPr>
        <w:t xml:space="preserve"> SIGOV-CERT, področje certifikacije in delovanje enotne kontaktne točka. </w:t>
      </w:r>
      <w:r w:rsidRPr="006D1761">
        <w:rPr>
          <w:rFonts w:cs="Arial"/>
          <w:szCs w:val="20"/>
          <w:lang w:val="sl-SI" w:eastAsia="sl-SI"/>
        </w:rPr>
        <w:t>V letu 202</w:t>
      </w:r>
      <w:r w:rsidR="00725BD6" w:rsidRPr="006D1761">
        <w:rPr>
          <w:rFonts w:cs="Arial"/>
          <w:szCs w:val="20"/>
          <w:lang w:val="sl-SI" w:eastAsia="sl-SI"/>
        </w:rPr>
        <w:t xml:space="preserve">7 bomo zakrožili krepitev nadzornega in odzivnega dela ter certifikacije. </w:t>
      </w:r>
    </w:p>
    <w:p w14:paraId="15B7EFFF" w14:textId="77777777" w:rsidR="00457E55" w:rsidRPr="006D1761" w:rsidRDefault="00457E55" w:rsidP="00457E55">
      <w:pPr>
        <w:spacing w:before="120" w:line="300" w:lineRule="atLeast"/>
        <w:jc w:val="both"/>
        <w:rPr>
          <w:rFonts w:cs="Arial"/>
          <w:szCs w:val="20"/>
          <w:highlight w:val="yellow"/>
          <w:lang w:val="sl-SI" w:eastAsia="sl-SI"/>
        </w:rPr>
      </w:pPr>
    </w:p>
    <w:p w14:paraId="7270E6FC" w14:textId="31AABCD8" w:rsidR="00457E55" w:rsidRPr="006D1761" w:rsidRDefault="00457E55" w:rsidP="003B2726">
      <w:pPr>
        <w:pStyle w:val="Odstavekseznama"/>
        <w:numPr>
          <w:ilvl w:val="0"/>
          <w:numId w:val="19"/>
        </w:numPr>
        <w:tabs>
          <w:tab w:val="left" w:pos="1440"/>
        </w:tabs>
        <w:jc w:val="both"/>
        <w:rPr>
          <w:rFonts w:cs="Arial"/>
          <w:b/>
          <w:bCs/>
          <w:szCs w:val="20"/>
          <w:lang w:val="sl-SI"/>
        </w:rPr>
      </w:pPr>
      <w:r w:rsidRPr="006D1761">
        <w:rPr>
          <w:rFonts w:cs="Arial"/>
          <w:b/>
          <w:bCs/>
          <w:szCs w:val="20"/>
          <w:lang w:val="sl-SI"/>
        </w:rPr>
        <w:t>Zagotovitev pogojev za delovanje skupin CSIRT</w:t>
      </w:r>
      <w:r w:rsidR="00F40754">
        <w:rPr>
          <w:rFonts w:cs="Arial"/>
          <w:b/>
          <w:bCs/>
          <w:szCs w:val="20"/>
          <w:lang w:val="sl-SI"/>
        </w:rPr>
        <w:t xml:space="preserve"> in varnostno operativnih centrov organov državne uprave</w:t>
      </w:r>
      <w:r w:rsidRPr="006D1761">
        <w:rPr>
          <w:rFonts w:cs="Arial"/>
          <w:b/>
          <w:bCs/>
          <w:szCs w:val="20"/>
          <w:lang w:val="sl-SI"/>
        </w:rPr>
        <w:t>:</w:t>
      </w:r>
    </w:p>
    <w:p w14:paraId="2BA94018" w14:textId="77777777" w:rsidR="00457E55" w:rsidRPr="006D1761" w:rsidRDefault="00457E55" w:rsidP="00457E55">
      <w:pPr>
        <w:spacing w:before="120" w:line="300" w:lineRule="atLeast"/>
        <w:jc w:val="both"/>
        <w:rPr>
          <w:rFonts w:cs="Arial"/>
          <w:szCs w:val="20"/>
          <w:highlight w:val="yellow"/>
          <w:lang w:val="sl-SI" w:eastAsia="sl-SI"/>
        </w:rPr>
      </w:pPr>
    </w:p>
    <w:tbl>
      <w:tblPr>
        <w:tblW w:w="8254" w:type="dxa"/>
        <w:tblCellMar>
          <w:left w:w="70" w:type="dxa"/>
          <w:right w:w="70" w:type="dxa"/>
        </w:tblCellMar>
        <w:tblLook w:val="04A0" w:firstRow="1" w:lastRow="0" w:firstColumn="1" w:lastColumn="0" w:noHBand="0" w:noVBand="1"/>
      </w:tblPr>
      <w:tblGrid>
        <w:gridCol w:w="321"/>
        <w:gridCol w:w="2542"/>
        <w:gridCol w:w="1531"/>
        <w:gridCol w:w="1309"/>
        <w:gridCol w:w="1242"/>
        <w:gridCol w:w="1309"/>
      </w:tblGrid>
      <w:tr w:rsidR="00457E55" w:rsidRPr="006D1761" w14:paraId="22E8D845" w14:textId="77777777" w:rsidTr="00192D96">
        <w:trPr>
          <w:trHeight w:val="300"/>
        </w:trPr>
        <w:tc>
          <w:tcPr>
            <w:tcW w:w="2863" w:type="dxa"/>
            <w:gridSpan w:val="2"/>
            <w:tcBorders>
              <w:top w:val="nil"/>
              <w:left w:val="nil"/>
              <w:bottom w:val="single" w:sz="12" w:space="0" w:color="FFFFFF"/>
              <w:right w:val="single" w:sz="4" w:space="0" w:color="FFFFFF"/>
            </w:tcBorders>
            <w:shd w:val="clear" w:color="4472C4" w:fill="4472C4"/>
            <w:noWrap/>
            <w:vAlign w:val="center"/>
            <w:hideMark/>
          </w:tcPr>
          <w:p w14:paraId="21956806" w14:textId="77777777" w:rsidR="00457E55" w:rsidRPr="006D1761" w:rsidRDefault="00457E55" w:rsidP="001B7E82">
            <w:pPr>
              <w:spacing w:line="240" w:lineRule="auto"/>
              <w:rPr>
                <w:rFonts w:cs="Arial"/>
                <w:b/>
                <w:bCs/>
                <w:color w:val="FFFFFF"/>
                <w:szCs w:val="20"/>
                <w:lang w:val="sl-SI" w:eastAsia="sl-SI"/>
              </w:rPr>
            </w:pPr>
          </w:p>
        </w:tc>
        <w:tc>
          <w:tcPr>
            <w:tcW w:w="1531" w:type="dxa"/>
            <w:tcBorders>
              <w:top w:val="nil"/>
              <w:left w:val="single" w:sz="4" w:space="0" w:color="FFFFFF"/>
              <w:bottom w:val="single" w:sz="12" w:space="0" w:color="FFFFFF"/>
              <w:right w:val="single" w:sz="4" w:space="0" w:color="FFFFFF"/>
            </w:tcBorders>
            <w:shd w:val="clear" w:color="4472C4" w:fill="4472C4"/>
            <w:noWrap/>
            <w:vAlign w:val="center"/>
            <w:hideMark/>
          </w:tcPr>
          <w:p w14:paraId="7BC470F1" w14:textId="77777777" w:rsidR="00457E55" w:rsidRPr="006D1761" w:rsidRDefault="00457E55" w:rsidP="001B7E82">
            <w:pPr>
              <w:spacing w:line="240" w:lineRule="auto"/>
              <w:jc w:val="center"/>
              <w:rPr>
                <w:rFonts w:cs="Arial"/>
                <w:b/>
                <w:bCs/>
                <w:color w:val="FFFFFF"/>
                <w:szCs w:val="20"/>
                <w:lang w:val="sl-SI" w:eastAsia="sl-SI"/>
              </w:rPr>
            </w:pPr>
            <w:r w:rsidRPr="006D1761">
              <w:rPr>
                <w:rFonts w:cs="Arial"/>
                <w:b/>
                <w:bCs/>
                <w:color w:val="FFFFFF"/>
                <w:szCs w:val="20"/>
                <w:lang w:val="sl-SI" w:eastAsia="sl-SI"/>
              </w:rPr>
              <w:t>t</w:t>
            </w:r>
          </w:p>
        </w:tc>
        <w:tc>
          <w:tcPr>
            <w:tcW w:w="1309" w:type="dxa"/>
            <w:tcBorders>
              <w:top w:val="nil"/>
              <w:left w:val="single" w:sz="4" w:space="0" w:color="FFFFFF"/>
              <w:bottom w:val="single" w:sz="12" w:space="0" w:color="FFFFFF"/>
              <w:right w:val="single" w:sz="4" w:space="0" w:color="FFFFFF"/>
            </w:tcBorders>
            <w:shd w:val="clear" w:color="4472C4" w:fill="4472C4"/>
            <w:noWrap/>
            <w:vAlign w:val="center"/>
            <w:hideMark/>
          </w:tcPr>
          <w:p w14:paraId="3A2DB853" w14:textId="77777777" w:rsidR="00457E55" w:rsidRPr="006D1761" w:rsidRDefault="00457E55" w:rsidP="001B7E82">
            <w:pPr>
              <w:spacing w:line="240" w:lineRule="auto"/>
              <w:jc w:val="center"/>
              <w:rPr>
                <w:rFonts w:cs="Arial"/>
                <w:b/>
                <w:bCs/>
                <w:color w:val="FFFFFF"/>
                <w:szCs w:val="20"/>
                <w:lang w:val="sl-SI" w:eastAsia="sl-SI"/>
              </w:rPr>
            </w:pPr>
            <w:r w:rsidRPr="006D1761">
              <w:rPr>
                <w:rFonts w:cs="Arial"/>
                <w:b/>
                <w:bCs/>
                <w:color w:val="FFFFFF"/>
                <w:szCs w:val="20"/>
                <w:lang w:val="sl-SI" w:eastAsia="sl-SI"/>
              </w:rPr>
              <w:t>t + 1</w:t>
            </w:r>
          </w:p>
        </w:tc>
        <w:tc>
          <w:tcPr>
            <w:tcW w:w="1242" w:type="dxa"/>
            <w:tcBorders>
              <w:top w:val="nil"/>
              <w:left w:val="single" w:sz="4" w:space="0" w:color="FFFFFF"/>
              <w:bottom w:val="single" w:sz="12" w:space="0" w:color="FFFFFF"/>
              <w:right w:val="single" w:sz="4" w:space="0" w:color="FFFFFF"/>
            </w:tcBorders>
            <w:shd w:val="clear" w:color="4472C4" w:fill="4472C4"/>
            <w:noWrap/>
            <w:vAlign w:val="center"/>
            <w:hideMark/>
          </w:tcPr>
          <w:p w14:paraId="07051BDA" w14:textId="77777777" w:rsidR="00457E55" w:rsidRPr="006D1761" w:rsidRDefault="00457E55" w:rsidP="001B7E82">
            <w:pPr>
              <w:spacing w:line="240" w:lineRule="auto"/>
              <w:jc w:val="center"/>
              <w:rPr>
                <w:rFonts w:cs="Arial"/>
                <w:b/>
                <w:bCs/>
                <w:color w:val="FFFFFF"/>
                <w:szCs w:val="20"/>
                <w:lang w:val="sl-SI" w:eastAsia="sl-SI"/>
              </w:rPr>
            </w:pPr>
            <w:r w:rsidRPr="006D1761">
              <w:rPr>
                <w:rFonts w:cs="Arial"/>
                <w:b/>
                <w:bCs/>
                <w:color w:val="FFFFFF"/>
                <w:szCs w:val="20"/>
                <w:lang w:val="sl-SI" w:eastAsia="sl-SI"/>
              </w:rPr>
              <w:t>t + 2</w:t>
            </w:r>
          </w:p>
        </w:tc>
        <w:tc>
          <w:tcPr>
            <w:tcW w:w="1309" w:type="dxa"/>
            <w:tcBorders>
              <w:top w:val="nil"/>
              <w:left w:val="single" w:sz="4" w:space="0" w:color="FFFFFF"/>
              <w:bottom w:val="single" w:sz="12" w:space="0" w:color="FFFFFF"/>
              <w:right w:val="nil"/>
            </w:tcBorders>
            <w:shd w:val="clear" w:color="4472C4" w:fill="4472C4"/>
            <w:noWrap/>
            <w:vAlign w:val="center"/>
            <w:hideMark/>
          </w:tcPr>
          <w:p w14:paraId="6A0A298C" w14:textId="77777777" w:rsidR="00457E55" w:rsidRPr="006D1761" w:rsidRDefault="00457E55" w:rsidP="001B7E82">
            <w:pPr>
              <w:spacing w:line="240" w:lineRule="auto"/>
              <w:jc w:val="center"/>
              <w:rPr>
                <w:rFonts w:cs="Arial"/>
                <w:b/>
                <w:bCs/>
                <w:color w:val="FFFFFF"/>
                <w:szCs w:val="20"/>
                <w:lang w:val="sl-SI" w:eastAsia="sl-SI"/>
              </w:rPr>
            </w:pPr>
            <w:r w:rsidRPr="006D1761">
              <w:rPr>
                <w:rFonts w:cs="Arial"/>
                <w:b/>
                <w:bCs/>
                <w:color w:val="FFFFFF"/>
                <w:szCs w:val="20"/>
                <w:lang w:val="sl-SI" w:eastAsia="sl-SI"/>
              </w:rPr>
              <w:t>t + 3</w:t>
            </w:r>
          </w:p>
        </w:tc>
      </w:tr>
      <w:tr w:rsidR="00457E55" w:rsidRPr="006D1761" w14:paraId="2DD13EB8" w14:textId="77777777" w:rsidTr="00192D96">
        <w:trPr>
          <w:trHeight w:val="300"/>
        </w:trPr>
        <w:tc>
          <w:tcPr>
            <w:tcW w:w="321" w:type="dxa"/>
            <w:tcBorders>
              <w:top w:val="single" w:sz="4" w:space="0" w:color="FFFFFF"/>
              <w:left w:val="nil"/>
              <w:bottom w:val="single" w:sz="4" w:space="0" w:color="FFFFFF"/>
              <w:right w:val="single" w:sz="4" w:space="0" w:color="FFFFFF"/>
            </w:tcBorders>
            <w:shd w:val="clear" w:color="B4C6E7" w:fill="B4C6E7"/>
            <w:noWrap/>
            <w:vAlign w:val="center"/>
            <w:hideMark/>
          </w:tcPr>
          <w:p w14:paraId="59BDA4EF" w14:textId="77777777" w:rsidR="00457E55" w:rsidRPr="006D1761" w:rsidRDefault="00457E55" w:rsidP="001B7E82">
            <w:pPr>
              <w:spacing w:line="240" w:lineRule="auto"/>
              <w:jc w:val="center"/>
              <w:rPr>
                <w:rFonts w:cs="Arial"/>
                <w:b/>
                <w:bCs/>
                <w:color w:val="FFFFFF"/>
                <w:szCs w:val="20"/>
                <w:lang w:val="sl-SI" w:eastAsia="sl-SI"/>
              </w:rPr>
            </w:pPr>
          </w:p>
        </w:tc>
        <w:tc>
          <w:tcPr>
            <w:tcW w:w="2542"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14:paraId="5B6D44CE" w14:textId="77777777" w:rsidR="00457E55" w:rsidRPr="006D1761" w:rsidRDefault="00457E55" w:rsidP="001B7E82">
            <w:pPr>
              <w:spacing w:line="240" w:lineRule="auto"/>
              <w:rPr>
                <w:rFonts w:cs="Arial"/>
                <w:b/>
                <w:bCs/>
                <w:color w:val="000000"/>
                <w:szCs w:val="20"/>
                <w:lang w:val="sl-SI" w:eastAsia="sl-SI"/>
              </w:rPr>
            </w:pPr>
            <w:r w:rsidRPr="006D1761">
              <w:rPr>
                <w:rFonts w:cs="Arial"/>
                <w:b/>
                <w:bCs/>
                <w:color w:val="000000"/>
                <w:szCs w:val="20"/>
                <w:lang w:val="sl-SI" w:eastAsia="sl-SI"/>
              </w:rPr>
              <w:t>Kategorija/leto</w:t>
            </w:r>
          </w:p>
        </w:tc>
        <w:tc>
          <w:tcPr>
            <w:tcW w:w="1531"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14:paraId="09F586D4" w14:textId="4CCF91C1" w:rsidR="00457E55" w:rsidRPr="006D1761" w:rsidRDefault="00457E55" w:rsidP="001B7E82">
            <w:pPr>
              <w:spacing w:line="240" w:lineRule="auto"/>
              <w:jc w:val="center"/>
              <w:rPr>
                <w:rFonts w:cs="Arial"/>
                <w:b/>
                <w:bCs/>
                <w:color w:val="000000"/>
                <w:szCs w:val="20"/>
                <w:lang w:val="sl-SI" w:eastAsia="sl-SI"/>
              </w:rPr>
            </w:pPr>
            <w:r w:rsidRPr="006D1761">
              <w:rPr>
                <w:rFonts w:cs="Arial"/>
                <w:b/>
                <w:bCs/>
                <w:color w:val="000000"/>
                <w:szCs w:val="20"/>
                <w:lang w:val="sl-SI"/>
              </w:rPr>
              <w:t>20</w:t>
            </w:r>
            <w:r w:rsidR="00725BD6" w:rsidRPr="006D1761">
              <w:rPr>
                <w:rFonts w:cs="Arial"/>
                <w:b/>
                <w:bCs/>
                <w:color w:val="000000"/>
                <w:szCs w:val="20"/>
                <w:lang w:val="sl-SI"/>
              </w:rPr>
              <w:t>24</w:t>
            </w:r>
          </w:p>
        </w:tc>
        <w:tc>
          <w:tcPr>
            <w:tcW w:w="1309"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14:paraId="2B422D63" w14:textId="28019139" w:rsidR="00457E55" w:rsidRPr="006D1761" w:rsidRDefault="00457E55" w:rsidP="001B7E82">
            <w:pPr>
              <w:spacing w:line="240" w:lineRule="auto"/>
              <w:jc w:val="center"/>
              <w:rPr>
                <w:rFonts w:cs="Arial"/>
                <w:b/>
                <w:bCs/>
                <w:color w:val="000000"/>
                <w:szCs w:val="20"/>
                <w:lang w:val="sl-SI" w:eastAsia="sl-SI"/>
              </w:rPr>
            </w:pPr>
            <w:r w:rsidRPr="006D1761">
              <w:rPr>
                <w:rFonts w:cs="Arial"/>
                <w:b/>
                <w:bCs/>
                <w:color w:val="000000"/>
                <w:szCs w:val="20"/>
                <w:lang w:val="sl-SI"/>
              </w:rPr>
              <w:t>20</w:t>
            </w:r>
            <w:r w:rsidR="00725BD6" w:rsidRPr="006D1761">
              <w:rPr>
                <w:rFonts w:cs="Arial"/>
                <w:b/>
                <w:bCs/>
                <w:color w:val="000000"/>
                <w:szCs w:val="20"/>
                <w:lang w:val="sl-SI"/>
              </w:rPr>
              <w:t>25</w:t>
            </w:r>
          </w:p>
        </w:tc>
        <w:tc>
          <w:tcPr>
            <w:tcW w:w="1242"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14:paraId="24D3F58D" w14:textId="5696F020" w:rsidR="00457E55" w:rsidRPr="006D1761" w:rsidRDefault="00457E55" w:rsidP="001B7E82">
            <w:pPr>
              <w:spacing w:line="240" w:lineRule="auto"/>
              <w:jc w:val="center"/>
              <w:rPr>
                <w:rFonts w:cs="Arial"/>
                <w:b/>
                <w:bCs/>
                <w:color w:val="000000"/>
                <w:szCs w:val="20"/>
                <w:lang w:val="sl-SI" w:eastAsia="sl-SI"/>
              </w:rPr>
            </w:pPr>
            <w:r w:rsidRPr="006D1761">
              <w:rPr>
                <w:rFonts w:cs="Arial"/>
                <w:b/>
                <w:bCs/>
                <w:color w:val="000000"/>
                <w:szCs w:val="20"/>
                <w:lang w:val="sl-SI"/>
              </w:rPr>
              <w:t>202</w:t>
            </w:r>
            <w:r w:rsidR="00725BD6" w:rsidRPr="006D1761">
              <w:rPr>
                <w:rFonts w:cs="Arial"/>
                <w:b/>
                <w:bCs/>
                <w:color w:val="000000"/>
                <w:szCs w:val="20"/>
                <w:lang w:val="sl-SI"/>
              </w:rPr>
              <w:t>6</w:t>
            </w:r>
          </w:p>
        </w:tc>
        <w:tc>
          <w:tcPr>
            <w:tcW w:w="1309" w:type="dxa"/>
            <w:tcBorders>
              <w:top w:val="single" w:sz="4" w:space="0" w:color="FFFFFF"/>
              <w:left w:val="single" w:sz="4" w:space="0" w:color="FFFFFF"/>
              <w:bottom w:val="single" w:sz="4" w:space="0" w:color="FFFFFF"/>
              <w:right w:val="nil"/>
            </w:tcBorders>
            <w:shd w:val="clear" w:color="B4C6E7" w:fill="B4C6E7"/>
            <w:noWrap/>
            <w:vAlign w:val="center"/>
            <w:hideMark/>
          </w:tcPr>
          <w:p w14:paraId="727FD9BE" w14:textId="73D64E95" w:rsidR="00457E55" w:rsidRPr="006D1761" w:rsidRDefault="00457E55" w:rsidP="001B7E82">
            <w:pPr>
              <w:spacing w:line="240" w:lineRule="auto"/>
              <w:jc w:val="center"/>
              <w:rPr>
                <w:rFonts w:cs="Arial"/>
                <w:b/>
                <w:bCs/>
                <w:color w:val="000000"/>
                <w:szCs w:val="20"/>
                <w:lang w:val="sl-SI" w:eastAsia="sl-SI"/>
              </w:rPr>
            </w:pPr>
            <w:r w:rsidRPr="006D1761">
              <w:rPr>
                <w:rFonts w:cs="Arial"/>
                <w:b/>
                <w:bCs/>
                <w:color w:val="000000"/>
                <w:szCs w:val="20"/>
                <w:lang w:val="sl-SI"/>
              </w:rPr>
              <w:t>202</w:t>
            </w:r>
            <w:r w:rsidR="00725BD6" w:rsidRPr="006D1761">
              <w:rPr>
                <w:rFonts w:cs="Arial"/>
                <w:b/>
                <w:bCs/>
                <w:color w:val="000000"/>
                <w:szCs w:val="20"/>
                <w:lang w:val="sl-SI"/>
              </w:rPr>
              <w:t>7</w:t>
            </w:r>
          </w:p>
        </w:tc>
      </w:tr>
      <w:tr w:rsidR="00457E55" w:rsidRPr="006D1761" w14:paraId="6892AB14" w14:textId="77777777" w:rsidTr="00192D96">
        <w:trPr>
          <w:trHeight w:val="300"/>
        </w:trPr>
        <w:tc>
          <w:tcPr>
            <w:tcW w:w="321" w:type="dxa"/>
            <w:tcBorders>
              <w:top w:val="single" w:sz="4" w:space="0" w:color="FFFFFF"/>
              <w:left w:val="nil"/>
              <w:bottom w:val="single" w:sz="4" w:space="0" w:color="FFFFFF"/>
              <w:right w:val="single" w:sz="4" w:space="0" w:color="FFFFFF"/>
            </w:tcBorders>
            <w:shd w:val="clear" w:color="D9E1F2" w:fill="D9E1F2"/>
            <w:noWrap/>
            <w:vAlign w:val="center"/>
            <w:hideMark/>
          </w:tcPr>
          <w:p w14:paraId="4F5FD383" w14:textId="77777777" w:rsidR="00457E55" w:rsidRPr="006D1761" w:rsidRDefault="00457E55" w:rsidP="001B7E82">
            <w:pPr>
              <w:spacing w:line="240" w:lineRule="auto"/>
              <w:jc w:val="right"/>
              <w:rPr>
                <w:rFonts w:cs="Arial"/>
                <w:color w:val="000000"/>
                <w:szCs w:val="20"/>
                <w:lang w:val="sl-SI" w:eastAsia="sl-SI"/>
              </w:rPr>
            </w:pPr>
            <w:r w:rsidRPr="006D1761">
              <w:rPr>
                <w:rFonts w:cs="Arial"/>
                <w:color w:val="000000"/>
                <w:szCs w:val="20"/>
                <w:lang w:val="sl-SI" w:eastAsia="sl-SI"/>
              </w:rPr>
              <w:t>1.</w:t>
            </w:r>
          </w:p>
        </w:tc>
        <w:tc>
          <w:tcPr>
            <w:tcW w:w="2542"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14:paraId="2A422B0C" w14:textId="296D8AB6" w:rsidR="00457E55" w:rsidRPr="006D1761" w:rsidRDefault="00F40754" w:rsidP="001B7E82">
            <w:pPr>
              <w:spacing w:line="240" w:lineRule="auto"/>
              <w:rPr>
                <w:rFonts w:cs="Arial"/>
                <w:color w:val="000000"/>
                <w:szCs w:val="20"/>
                <w:lang w:val="sl-SI" w:eastAsia="sl-SI"/>
              </w:rPr>
            </w:pPr>
            <w:r>
              <w:rPr>
                <w:rFonts w:cs="Arial"/>
                <w:color w:val="000000"/>
                <w:szCs w:val="20"/>
                <w:lang w:val="sl-SI" w:eastAsia="sl-SI"/>
              </w:rPr>
              <w:t>Delovanje skupine CSIRT</w:t>
            </w:r>
          </w:p>
        </w:tc>
        <w:tc>
          <w:tcPr>
            <w:tcW w:w="1531"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14:paraId="477A38C3" w14:textId="33FC5F49" w:rsidR="00457E55" w:rsidRPr="006D1761" w:rsidRDefault="00F40754" w:rsidP="001B7E82">
            <w:pPr>
              <w:spacing w:line="240" w:lineRule="auto"/>
              <w:jc w:val="right"/>
              <w:rPr>
                <w:rFonts w:cs="Arial"/>
                <w:color w:val="000000"/>
                <w:szCs w:val="20"/>
                <w:lang w:val="sl-SI" w:eastAsia="sl-SI"/>
              </w:rPr>
            </w:pPr>
            <w:r>
              <w:rPr>
                <w:rFonts w:cs="Arial"/>
                <w:color w:val="000000"/>
                <w:szCs w:val="20"/>
                <w:lang w:val="sl-SI" w:eastAsia="sl-SI"/>
              </w:rPr>
              <w:t xml:space="preserve">843.998 </w:t>
            </w:r>
            <w:r>
              <w:rPr>
                <w:rFonts w:cs="Arial"/>
                <w:color w:val="000000"/>
                <w:szCs w:val="20"/>
              </w:rPr>
              <w:t>€</w:t>
            </w:r>
          </w:p>
        </w:tc>
        <w:tc>
          <w:tcPr>
            <w:tcW w:w="1309"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14:paraId="36E05CAB" w14:textId="0784610D" w:rsidR="00457E55" w:rsidRPr="006D1761" w:rsidRDefault="00F40754" w:rsidP="001B7E82">
            <w:pPr>
              <w:spacing w:line="240" w:lineRule="auto"/>
              <w:jc w:val="right"/>
              <w:rPr>
                <w:rFonts w:cs="Arial"/>
                <w:color w:val="000000"/>
                <w:szCs w:val="20"/>
                <w:lang w:val="sl-SI"/>
              </w:rPr>
            </w:pPr>
            <w:r>
              <w:rPr>
                <w:rFonts w:cs="Arial"/>
                <w:color w:val="000000"/>
                <w:szCs w:val="20"/>
                <w:lang w:val="sl-SI"/>
              </w:rPr>
              <w:t xml:space="preserve">928.398 </w:t>
            </w:r>
            <w:r>
              <w:rPr>
                <w:rFonts w:cs="Arial"/>
                <w:color w:val="000000"/>
                <w:szCs w:val="20"/>
              </w:rPr>
              <w:t>€</w:t>
            </w:r>
          </w:p>
        </w:tc>
        <w:tc>
          <w:tcPr>
            <w:tcW w:w="1242"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14:paraId="584FDF11" w14:textId="7EB0657F" w:rsidR="00457E55" w:rsidRPr="006D1761" w:rsidRDefault="00F40754" w:rsidP="001B7E82">
            <w:pPr>
              <w:spacing w:line="240" w:lineRule="auto"/>
              <w:jc w:val="right"/>
              <w:rPr>
                <w:rFonts w:cs="Arial"/>
                <w:color w:val="000000"/>
                <w:szCs w:val="20"/>
                <w:lang w:val="sl-SI"/>
              </w:rPr>
            </w:pPr>
            <w:r>
              <w:rPr>
                <w:rFonts w:cs="Arial"/>
                <w:color w:val="000000"/>
                <w:szCs w:val="20"/>
                <w:lang w:val="sl-SI"/>
              </w:rPr>
              <w:t xml:space="preserve">1.021.238 </w:t>
            </w:r>
            <w:r>
              <w:rPr>
                <w:rFonts w:cs="Arial"/>
                <w:color w:val="000000"/>
                <w:szCs w:val="20"/>
              </w:rPr>
              <w:t>€</w:t>
            </w:r>
          </w:p>
        </w:tc>
        <w:tc>
          <w:tcPr>
            <w:tcW w:w="1309" w:type="dxa"/>
            <w:tcBorders>
              <w:top w:val="single" w:sz="4" w:space="0" w:color="FFFFFF"/>
              <w:left w:val="single" w:sz="4" w:space="0" w:color="FFFFFF"/>
              <w:bottom w:val="single" w:sz="4" w:space="0" w:color="FFFFFF"/>
              <w:right w:val="nil"/>
            </w:tcBorders>
            <w:shd w:val="clear" w:color="D9E1F2" w:fill="D9E1F2"/>
            <w:noWrap/>
            <w:vAlign w:val="center"/>
          </w:tcPr>
          <w:p w14:paraId="0B2D6BF1" w14:textId="53E4124D" w:rsidR="00457E55" w:rsidRPr="006D1761" w:rsidRDefault="00F40754" w:rsidP="001B7E82">
            <w:pPr>
              <w:spacing w:line="240" w:lineRule="auto"/>
              <w:jc w:val="right"/>
              <w:rPr>
                <w:rFonts w:cs="Arial"/>
                <w:color w:val="000000"/>
                <w:szCs w:val="20"/>
                <w:lang w:val="sl-SI"/>
              </w:rPr>
            </w:pPr>
            <w:r>
              <w:rPr>
                <w:rFonts w:cs="Arial"/>
                <w:color w:val="000000"/>
                <w:szCs w:val="20"/>
                <w:lang w:val="sl-SI"/>
              </w:rPr>
              <w:t xml:space="preserve">1.123.362 </w:t>
            </w:r>
            <w:r>
              <w:rPr>
                <w:rFonts w:cs="Arial"/>
                <w:color w:val="000000"/>
                <w:szCs w:val="20"/>
              </w:rPr>
              <w:t>€</w:t>
            </w:r>
          </w:p>
        </w:tc>
      </w:tr>
      <w:tr w:rsidR="00F40754" w:rsidRPr="00F40754" w14:paraId="7AC0320D" w14:textId="77777777" w:rsidTr="00192D96">
        <w:trPr>
          <w:trHeight w:val="300"/>
        </w:trPr>
        <w:tc>
          <w:tcPr>
            <w:tcW w:w="321" w:type="dxa"/>
            <w:tcBorders>
              <w:top w:val="single" w:sz="4" w:space="0" w:color="FFFFFF"/>
              <w:left w:val="nil"/>
              <w:bottom w:val="single" w:sz="4" w:space="0" w:color="FFFFFF"/>
              <w:right w:val="single" w:sz="4" w:space="0" w:color="FFFFFF"/>
            </w:tcBorders>
            <w:shd w:val="clear" w:color="B4C6E7" w:fill="B4C6E7"/>
            <w:noWrap/>
            <w:vAlign w:val="center"/>
            <w:hideMark/>
          </w:tcPr>
          <w:p w14:paraId="5DBA16C0" w14:textId="77777777" w:rsidR="00F40754" w:rsidRPr="006D1761" w:rsidRDefault="00F40754" w:rsidP="00F40754">
            <w:pPr>
              <w:spacing w:line="240" w:lineRule="auto"/>
              <w:jc w:val="right"/>
              <w:rPr>
                <w:rFonts w:cs="Arial"/>
                <w:color w:val="000000"/>
                <w:szCs w:val="20"/>
                <w:lang w:val="sl-SI" w:eastAsia="sl-SI"/>
              </w:rPr>
            </w:pPr>
            <w:r w:rsidRPr="006D1761">
              <w:rPr>
                <w:rFonts w:cs="Arial"/>
                <w:color w:val="000000"/>
                <w:szCs w:val="20"/>
                <w:lang w:val="sl-SI" w:eastAsia="sl-SI"/>
              </w:rPr>
              <w:t>2.</w:t>
            </w:r>
          </w:p>
        </w:tc>
        <w:tc>
          <w:tcPr>
            <w:tcW w:w="2542"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14:paraId="4707A096" w14:textId="48DBE4D3" w:rsidR="00F40754" w:rsidRPr="006D1761" w:rsidRDefault="00F40754" w:rsidP="00F40754">
            <w:pPr>
              <w:spacing w:line="240" w:lineRule="auto"/>
              <w:rPr>
                <w:rFonts w:cs="Arial"/>
                <w:color w:val="000000"/>
                <w:szCs w:val="20"/>
                <w:lang w:val="sl-SI" w:eastAsia="sl-SI"/>
              </w:rPr>
            </w:pPr>
            <w:r w:rsidRPr="006D1761">
              <w:rPr>
                <w:rFonts w:cs="Arial"/>
                <w:color w:val="000000"/>
                <w:szCs w:val="20"/>
                <w:lang w:val="sl-SI" w:eastAsia="sl-SI"/>
              </w:rPr>
              <w:t>VOC Policija</w:t>
            </w:r>
          </w:p>
        </w:tc>
        <w:tc>
          <w:tcPr>
            <w:tcW w:w="1531" w:type="dxa"/>
            <w:tcBorders>
              <w:top w:val="single" w:sz="4" w:space="0" w:color="FFFFFF"/>
              <w:left w:val="single" w:sz="4" w:space="0" w:color="FFFFFF"/>
              <w:bottom w:val="single" w:sz="4" w:space="0" w:color="FFFFFF"/>
              <w:right w:val="single" w:sz="4" w:space="0" w:color="FFFFFF"/>
            </w:tcBorders>
            <w:shd w:val="clear" w:color="B4C6E7" w:fill="B4C6E7"/>
            <w:noWrap/>
            <w:vAlign w:val="center"/>
          </w:tcPr>
          <w:p w14:paraId="0AA8765C" w14:textId="3CCFC268" w:rsidR="00F40754" w:rsidRPr="006D1761" w:rsidRDefault="00F40754" w:rsidP="00F40754">
            <w:pPr>
              <w:spacing w:line="240" w:lineRule="auto"/>
              <w:jc w:val="right"/>
              <w:rPr>
                <w:rFonts w:cs="Arial"/>
                <w:color w:val="000000"/>
                <w:szCs w:val="20"/>
                <w:lang w:val="sl-SI" w:eastAsia="sl-SI"/>
              </w:rPr>
            </w:pPr>
          </w:p>
        </w:tc>
        <w:tc>
          <w:tcPr>
            <w:tcW w:w="1309" w:type="dxa"/>
            <w:tcBorders>
              <w:top w:val="single" w:sz="4" w:space="0" w:color="FFFFFF"/>
              <w:left w:val="single" w:sz="4" w:space="0" w:color="FFFFFF"/>
              <w:bottom w:val="single" w:sz="4" w:space="0" w:color="FFFFFF"/>
              <w:right w:val="single" w:sz="4" w:space="0" w:color="FFFFFF"/>
            </w:tcBorders>
            <w:shd w:val="clear" w:color="B4C6E7" w:fill="B4C6E7"/>
            <w:noWrap/>
            <w:vAlign w:val="center"/>
          </w:tcPr>
          <w:p w14:paraId="7BD14F0E" w14:textId="5F2F835F" w:rsidR="00F40754" w:rsidRPr="006D1761" w:rsidRDefault="00F40754" w:rsidP="00F40754">
            <w:pPr>
              <w:spacing w:line="240" w:lineRule="auto"/>
              <w:jc w:val="right"/>
              <w:rPr>
                <w:rFonts w:cs="Arial"/>
                <w:color w:val="000000"/>
                <w:szCs w:val="20"/>
                <w:lang w:val="sl-SI"/>
              </w:rPr>
            </w:pPr>
          </w:p>
        </w:tc>
        <w:tc>
          <w:tcPr>
            <w:tcW w:w="1242" w:type="dxa"/>
            <w:tcBorders>
              <w:top w:val="single" w:sz="4" w:space="0" w:color="FFFFFF"/>
              <w:left w:val="single" w:sz="4" w:space="0" w:color="FFFFFF"/>
              <w:bottom w:val="single" w:sz="4" w:space="0" w:color="FFFFFF"/>
              <w:right w:val="single" w:sz="4" w:space="0" w:color="FFFFFF"/>
            </w:tcBorders>
            <w:shd w:val="clear" w:color="B4C6E7" w:fill="B4C6E7"/>
            <w:noWrap/>
            <w:vAlign w:val="center"/>
          </w:tcPr>
          <w:p w14:paraId="27D2CFA9" w14:textId="4BF3B33A" w:rsidR="00F40754" w:rsidRPr="006D1761" w:rsidRDefault="00F40754" w:rsidP="00F40754">
            <w:pPr>
              <w:spacing w:line="240" w:lineRule="auto"/>
              <w:jc w:val="right"/>
              <w:rPr>
                <w:rFonts w:cs="Arial"/>
                <w:color w:val="000000"/>
                <w:szCs w:val="20"/>
                <w:lang w:val="sl-SI"/>
              </w:rPr>
            </w:pPr>
          </w:p>
        </w:tc>
        <w:tc>
          <w:tcPr>
            <w:tcW w:w="1309" w:type="dxa"/>
            <w:tcBorders>
              <w:top w:val="single" w:sz="4" w:space="0" w:color="FFFFFF"/>
              <w:left w:val="single" w:sz="4" w:space="0" w:color="FFFFFF"/>
              <w:bottom w:val="single" w:sz="4" w:space="0" w:color="FFFFFF"/>
              <w:right w:val="nil"/>
            </w:tcBorders>
            <w:shd w:val="clear" w:color="B4C6E7" w:fill="B4C6E7"/>
            <w:noWrap/>
            <w:vAlign w:val="center"/>
          </w:tcPr>
          <w:p w14:paraId="5D755EBC" w14:textId="6F849276" w:rsidR="00F40754" w:rsidRPr="006D1761" w:rsidRDefault="00F40754" w:rsidP="00F40754">
            <w:pPr>
              <w:spacing w:line="240" w:lineRule="auto"/>
              <w:jc w:val="right"/>
              <w:rPr>
                <w:rFonts w:cs="Arial"/>
                <w:color w:val="000000"/>
                <w:szCs w:val="20"/>
                <w:lang w:val="sl-SI"/>
              </w:rPr>
            </w:pPr>
          </w:p>
        </w:tc>
      </w:tr>
      <w:tr w:rsidR="00F40754" w:rsidRPr="00F40754" w14:paraId="580F4492" w14:textId="77777777" w:rsidTr="00192D96">
        <w:trPr>
          <w:trHeight w:val="300"/>
        </w:trPr>
        <w:tc>
          <w:tcPr>
            <w:tcW w:w="321" w:type="dxa"/>
            <w:tcBorders>
              <w:top w:val="single" w:sz="4" w:space="0" w:color="FFFFFF"/>
              <w:left w:val="nil"/>
              <w:bottom w:val="single" w:sz="4" w:space="0" w:color="FFFFFF"/>
              <w:right w:val="single" w:sz="4" w:space="0" w:color="FFFFFF"/>
            </w:tcBorders>
            <w:shd w:val="clear" w:color="D9E1F2" w:fill="D9E1F2"/>
            <w:noWrap/>
            <w:vAlign w:val="center"/>
            <w:hideMark/>
          </w:tcPr>
          <w:p w14:paraId="3A4D222C" w14:textId="77777777" w:rsidR="00F40754" w:rsidRPr="006D1761" w:rsidRDefault="00F40754" w:rsidP="00F40754">
            <w:pPr>
              <w:spacing w:line="240" w:lineRule="auto"/>
              <w:jc w:val="right"/>
              <w:rPr>
                <w:rFonts w:cs="Arial"/>
                <w:color w:val="000000"/>
                <w:szCs w:val="20"/>
                <w:lang w:val="sl-SI" w:eastAsia="sl-SI"/>
              </w:rPr>
            </w:pPr>
            <w:r w:rsidRPr="006D1761">
              <w:rPr>
                <w:rFonts w:cs="Arial"/>
                <w:color w:val="000000"/>
                <w:szCs w:val="20"/>
                <w:lang w:val="sl-SI" w:eastAsia="sl-SI"/>
              </w:rPr>
              <w:t>3.</w:t>
            </w:r>
          </w:p>
        </w:tc>
        <w:tc>
          <w:tcPr>
            <w:tcW w:w="2542"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14:paraId="3C24B8CB" w14:textId="40D312AC" w:rsidR="00F40754" w:rsidRPr="006D1761" w:rsidRDefault="00F40754" w:rsidP="00F40754">
            <w:pPr>
              <w:spacing w:line="240" w:lineRule="auto"/>
              <w:rPr>
                <w:rFonts w:cs="Arial"/>
                <w:color w:val="000000"/>
                <w:szCs w:val="20"/>
                <w:lang w:val="sl-SI" w:eastAsia="sl-SI"/>
              </w:rPr>
            </w:pPr>
            <w:r w:rsidRPr="006D1761">
              <w:rPr>
                <w:rFonts w:cs="Arial"/>
                <w:color w:val="000000"/>
                <w:szCs w:val="20"/>
                <w:lang w:val="sl-SI" w:eastAsia="sl-SI"/>
              </w:rPr>
              <w:t>VOC MDP</w:t>
            </w:r>
          </w:p>
        </w:tc>
        <w:tc>
          <w:tcPr>
            <w:tcW w:w="1531"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14:paraId="67D2102C" w14:textId="636C71DC" w:rsidR="00F40754" w:rsidRPr="006D1761" w:rsidRDefault="00F40754" w:rsidP="00F40754">
            <w:pPr>
              <w:spacing w:line="240" w:lineRule="auto"/>
              <w:jc w:val="right"/>
              <w:rPr>
                <w:rFonts w:cs="Arial"/>
                <w:color w:val="000000"/>
                <w:szCs w:val="20"/>
                <w:lang w:val="sl-SI" w:eastAsia="sl-SI"/>
              </w:rPr>
            </w:pPr>
          </w:p>
        </w:tc>
        <w:tc>
          <w:tcPr>
            <w:tcW w:w="1309"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14:paraId="00C34C51" w14:textId="7D9BF755" w:rsidR="00F40754" w:rsidRPr="006D1761" w:rsidRDefault="00F40754" w:rsidP="00F40754">
            <w:pPr>
              <w:spacing w:line="240" w:lineRule="auto"/>
              <w:jc w:val="right"/>
              <w:rPr>
                <w:rFonts w:cs="Arial"/>
                <w:color w:val="000000"/>
                <w:szCs w:val="20"/>
                <w:lang w:val="sl-SI"/>
              </w:rPr>
            </w:pPr>
          </w:p>
        </w:tc>
        <w:tc>
          <w:tcPr>
            <w:tcW w:w="1242"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14:paraId="5F537B38" w14:textId="0B4F55D1" w:rsidR="00F40754" w:rsidRPr="006D1761" w:rsidRDefault="00F40754" w:rsidP="00F40754">
            <w:pPr>
              <w:spacing w:line="240" w:lineRule="auto"/>
              <w:jc w:val="right"/>
              <w:rPr>
                <w:rFonts w:cs="Arial"/>
                <w:color w:val="000000"/>
                <w:szCs w:val="20"/>
                <w:lang w:val="sl-SI"/>
              </w:rPr>
            </w:pPr>
          </w:p>
        </w:tc>
        <w:tc>
          <w:tcPr>
            <w:tcW w:w="1309" w:type="dxa"/>
            <w:tcBorders>
              <w:top w:val="single" w:sz="4" w:space="0" w:color="FFFFFF"/>
              <w:left w:val="single" w:sz="4" w:space="0" w:color="FFFFFF"/>
              <w:bottom w:val="single" w:sz="4" w:space="0" w:color="FFFFFF"/>
              <w:right w:val="nil"/>
            </w:tcBorders>
            <w:shd w:val="clear" w:color="D9E1F2" w:fill="D9E1F2"/>
            <w:noWrap/>
            <w:vAlign w:val="center"/>
          </w:tcPr>
          <w:p w14:paraId="20AAEB3D" w14:textId="0961E308" w:rsidR="00F40754" w:rsidRPr="006D1761" w:rsidRDefault="00F40754" w:rsidP="00F40754">
            <w:pPr>
              <w:spacing w:line="240" w:lineRule="auto"/>
              <w:jc w:val="right"/>
              <w:rPr>
                <w:rFonts w:cs="Arial"/>
                <w:color w:val="000000"/>
                <w:szCs w:val="20"/>
                <w:lang w:val="sl-SI"/>
              </w:rPr>
            </w:pPr>
          </w:p>
        </w:tc>
      </w:tr>
      <w:tr w:rsidR="00F40754" w:rsidRPr="006D1761" w14:paraId="3E6211C6" w14:textId="77777777" w:rsidTr="00192D96">
        <w:trPr>
          <w:trHeight w:val="300"/>
        </w:trPr>
        <w:tc>
          <w:tcPr>
            <w:tcW w:w="321" w:type="dxa"/>
            <w:tcBorders>
              <w:top w:val="single" w:sz="4" w:space="0" w:color="FFFFFF"/>
              <w:left w:val="nil"/>
              <w:bottom w:val="single" w:sz="4" w:space="0" w:color="FFFFFF"/>
              <w:right w:val="single" w:sz="4" w:space="0" w:color="FFFFFF"/>
            </w:tcBorders>
            <w:shd w:val="clear" w:color="B4C6E7" w:fill="B4C6E7"/>
            <w:noWrap/>
            <w:vAlign w:val="center"/>
            <w:hideMark/>
          </w:tcPr>
          <w:p w14:paraId="5CC684D5" w14:textId="77777777" w:rsidR="00F40754" w:rsidRPr="006D1761" w:rsidRDefault="00F40754" w:rsidP="00F40754">
            <w:pPr>
              <w:spacing w:line="240" w:lineRule="auto"/>
              <w:jc w:val="right"/>
              <w:rPr>
                <w:rFonts w:cs="Arial"/>
                <w:color w:val="000000"/>
                <w:szCs w:val="20"/>
                <w:lang w:val="sl-SI" w:eastAsia="sl-SI"/>
              </w:rPr>
            </w:pPr>
            <w:r w:rsidRPr="006D1761">
              <w:rPr>
                <w:rFonts w:cs="Arial"/>
                <w:color w:val="000000"/>
                <w:szCs w:val="20"/>
                <w:lang w:val="sl-SI" w:eastAsia="sl-SI"/>
              </w:rPr>
              <w:t>4.</w:t>
            </w:r>
          </w:p>
        </w:tc>
        <w:tc>
          <w:tcPr>
            <w:tcW w:w="2542"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14:paraId="46E2B984" w14:textId="231EE44F" w:rsidR="00F40754" w:rsidRPr="006D1761" w:rsidRDefault="007D46C1" w:rsidP="00F40754">
            <w:pPr>
              <w:spacing w:line="240" w:lineRule="auto"/>
              <w:rPr>
                <w:rFonts w:cs="Arial"/>
                <w:color w:val="000000"/>
                <w:szCs w:val="20"/>
                <w:lang w:val="sl-SI" w:eastAsia="sl-SI"/>
              </w:rPr>
            </w:pPr>
            <w:r>
              <w:rPr>
                <w:rFonts w:cs="Arial"/>
                <w:color w:val="000000"/>
                <w:szCs w:val="20"/>
                <w:lang w:val="sl-SI" w:eastAsia="sl-SI"/>
              </w:rPr>
              <w:t>K</w:t>
            </w:r>
            <w:r w:rsidR="00F40754" w:rsidRPr="006D1761">
              <w:rPr>
                <w:rFonts w:cs="Arial"/>
                <w:color w:val="000000"/>
                <w:szCs w:val="20"/>
                <w:lang w:val="sl-SI" w:eastAsia="sl-SI"/>
              </w:rPr>
              <w:t>ibernetski center OVS</w:t>
            </w:r>
          </w:p>
        </w:tc>
        <w:tc>
          <w:tcPr>
            <w:tcW w:w="1531" w:type="dxa"/>
            <w:tcBorders>
              <w:top w:val="single" w:sz="4" w:space="0" w:color="FFFFFF"/>
              <w:left w:val="single" w:sz="4" w:space="0" w:color="FFFFFF"/>
              <w:bottom w:val="single" w:sz="4" w:space="0" w:color="FFFFFF"/>
              <w:right w:val="single" w:sz="4" w:space="0" w:color="FFFFFF"/>
            </w:tcBorders>
            <w:shd w:val="clear" w:color="B4C6E7" w:fill="B4C6E7"/>
            <w:noWrap/>
            <w:vAlign w:val="center"/>
          </w:tcPr>
          <w:p w14:paraId="02F3EA81" w14:textId="4F2CF737" w:rsidR="00F40754" w:rsidRPr="006D1761" w:rsidRDefault="00F40754" w:rsidP="00F40754">
            <w:pPr>
              <w:spacing w:line="240" w:lineRule="auto"/>
              <w:jc w:val="right"/>
              <w:rPr>
                <w:rFonts w:cs="Arial"/>
                <w:color w:val="000000"/>
                <w:szCs w:val="20"/>
                <w:lang w:val="sl-SI"/>
              </w:rPr>
            </w:pPr>
          </w:p>
        </w:tc>
        <w:tc>
          <w:tcPr>
            <w:tcW w:w="1309" w:type="dxa"/>
            <w:tcBorders>
              <w:top w:val="single" w:sz="4" w:space="0" w:color="FFFFFF"/>
              <w:left w:val="single" w:sz="4" w:space="0" w:color="FFFFFF"/>
              <w:bottom w:val="single" w:sz="4" w:space="0" w:color="FFFFFF"/>
              <w:right w:val="single" w:sz="4" w:space="0" w:color="FFFFFF"/>
            </w:tcBorders>
            <w:shd w:val="clear" w:color="B4C6E7" w:fill="B4C6E7"/>
            <w:noWrap/>
            <w:vAlign w:val="center"/>
          </w:tcPr>
          <w:p w14:paraId="6277F967" w14:textId="68ACFB2E" w:rsidR="00F40754" w:rsidRPr="006D1761" w:rsidRDefault="00F40754" w:rsidP="00F40754">
            <w:pPr>
              <w:spacing w:line="240" w:lineRule="auto"/>
              <w:jc w:val="right"/>
              <w:rPr>
                <w:rFonts w:cs="Arial"/>
                <w:color w:val="000000"/>
                <w:szCs w:val="20"/>
                <w:lang w:val="sl-SI"/>
              </w:rPr>
            </w:pPr>
          </w:p>
        </w:tc>
        <w:tc>
          <w:tcPr>
            <w:tcW w:w="1242" w:type="dxa"/>
            <w:tcBorders>
              <w:top w:val="single" w:sz="4" w:space="0" w:color="FFFFFF"/>
              <w:left w:val="single" w:sz="4" w:space="0" w:color="FFFFFF"/>
              <w:bottom w:val="single" w:sz="4" w:space="0" w:color="FFFFFF"/>
              <w:right w:val="single" w:sz="4" w:space="0" w:color="FFFFFF"/>
            </w:tcBorders>
            <w:shd w:val="clear" w:color="B4C6E7" w:fill="B4C6E7"/>
            <w:noWrap/>
            <w:vAlign w:val="center"/>
          </w:tcPr>
          <w:p w14:paraId="2FA7DA82" w14:textId="3A7D0170" w:rsidR="00F40754" w:rsidRPr="006D1761" w:rsidRDefault="00F40754" w:rsidP="00F40754">
            <w:pPr>
              <w:spacing w:line="240" w:lineRule="auto"/>
              <w:jc w:val="right"/>
              <w:rPr>
                <w:rFonts w:cs="Arial"/>
                <w:color w:val="000000"/>
                <w:szCs w:val="20"/>
                <w:lang w:val="sl-SI"/>
              </w:rPr>
            </w:pPr>
          </w:p>
        </w:tc>
        <w:tc>
          <w:tcPr>
            <w:tcW w:w="1309" w:type="dxa"/>
            <w:tcBorders>
              <w:top w:val="single" w:sz="4" w:space="0" w:color="FFFFFF"/>
              <w:left w:val="single" w:sz="4" w:space="0" w:color="FFFFFF"/>
              <w:bottom w:val="single" w:sz="4" w:space="0" w:color="FFFFFF"/>
              <w:right w:val="nil"/>
            </w:tcBorders>
            <w:shd w:val="clear" w:color="B4C6E7" w:fill="B4C6E7"/>
            <w:noWrap/>
            <w:vAlign w:val="center"/>
          </w:tcPr>
          <w:p w14:paraId="557681E5" w14:textId="5258FA09" w:rsidR="00F40754" w:rsidRPr="006D1761" w:rsidRDefault="00F40754" w:rsidP="00F40754">
            <w:pPr>
              <w:spacing w:line="240" w:lineRule="auto"/>
              <w:jc w:val="right"/>
              <w:rPr>
                <w:rFonts w:cs="Arial"/>
                <w:color w:val="000000"/>
                <w:szCs w:val="20"/>
                <w:lang w:val="sl-SI"/>
              </w:rPr>
            </w:pPr>
          </w:p>
        </w:tc>
      </w:tr>
      <w:tr w:rsidR="00F40754" w:rsidRPr="00F40754" w14:paraId="226B1E11" w14:textId="77777777" w:rsidTr="00192D96">
        <w:trPr>
          <w:trHeight w:val="300"/>
        </w:trPr>
        <w:tc>
          <w:tcPr>
            <w:tcW w:w="321" w:type="dxa"/>
            <w:tcBorders>
              <w:top w:val="single" w:sz="4" w:space="0" w:color="FFFFFF"/>
              <w:left w:val="nil"/>
              <w:bottom w:val="single" w:sz="4" w:space="0" w:color="FFFFFF"/>
              <w:right w:val="single" w:sz="4" w:space="0" w:color="FFFFFF"/>
            </w:tcBorders>
            <w:shd w:val="clear" w:color="D9E1F2" w:fill="D9E1F2"/>
            <w:noWrap/>
            <w:vAlign w:val="center"/>
            <w:hideMark/>
          </w:tcPr>
          <w:p w14:paraId="53509BC4" w14:textId="77777777" w:rsidR="00F40754" w:rsidRPr="006D1761" w:rsidRDefault="00F40754" w:rsidP="00F40754">
            <w:pPr>
              <w:spacing w:line="240" w:lineRule="auto"/>
              <w:jc w:val="right"/>
              <w:rPr>
                <w:rFonts w:cs="Arial"/>
                <w:color w:val="000000"/>
                <w:szCs w:val="20"/>
                <w:lang w:val="sl-SI" w:eastAsia="sl-SI"/>
              </w:rPr>
            </w:pPr>
            <w:r w:rsidRPr="006D1761">
              <w:rPr>
                <w:rFonts w:cs="Arial"/>
                <w:color w:val="000000"/>
                <w:szCs w:val="20"/>
                <w:lang w:val="sl-SI" w:eastAsia="sl-SI"/>
              </w:rPr>
              <w:t>5.</w:t>
            </w:r>
          </w:p>
        </w:tc>
        <w:tc>
          <w:tcPr>
            <w:tcW w:w="2542"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14:paraId="567488F1" w14:textId="2B102E34" w:rsidR="00F40754" w:rsidRPr="006D1761" w:rsidRDefault="00F40754" w:rsidP="00F40754">
            <w:pPr>
              <w:spacing w:line="240" w:lineRule="auto"/>
              <w:rPr>
                <w:rFonts w:cs="Arial"/>
                <w:color w:val="000000"/>
                <w:szCs w:val="20"/>
                <w:lang w:val="sl-SI" w:eastAsia="sl-SI"/>
              </w:rPr>
            </w:pPr>
            <w:r w:rsidRPr="006D1761">
              <w:rPr>
                <w:rFonts w:cs="Arial"/>
                <w:color w:val="000000"/>
                <w:szCs w:val="20"/>
                <w:lang w:val="sl-SI" w:eastAsia="sl-SI"/>
              </w:rPr>
              <w:t>VOC SOVA</w:t>
            </w:r>
          </w:p>
        </w:tc>
        <w:tc>
          <w:tcPr>
            <w:tcW w:w="1531"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14:paraId="4FB65E1E" w14:textId="5EC28069" w:rsidR="00F40754" w:rsidRPr="006D1761" w:rsidRDefault="00F40754" w:rsidP="00F40754">
            <w:pPr>
              <w:spacing w:line="240" w:lineRule="auto"/>
              <w:jc w:val="right"/>
              <w:rPr>
                <w:rFonts w:cs="Arial"/>
                <w:color w:val="000000"/>
                <w:szCs w:val="20"/>
                <w:lang w:val="sl-SI" w:eastAsia="sl-SI"/>
              </w:rPr>
            </w:pPr>
          </w:p>
        </w:tc>
        <w:tc>
          <w:tcPr>
            <w:tcW w:w="1309"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14:paraId="22457333" w14:textId="0C4F7184" w:rsidR="00F40754" w:rsidRPr="006D1761" w:rsidRDefault="00F40754" w:rsidP="00F40754">
            <w:pPr>
              <w:spacing w:line="240" w:lineRule="auto"/>
              <w:jc w:val="right"/>
              <w:rPr>
                <w:rFonts w:cs="Arial"/>
                <w:color w:val="000000"/>
                <w:szCs w:val="20"/>
                <w:lang w:val="sl-SI"/>
              </w:rPr>
            </w:pPr>
          </w:p>
        </w:tc>
        <w:tc>
          <w:tcPr>
            <w:tcW w:w="1242"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14:paraId="5D613E3F" w14:textId="3A2A857A" w:rsidR="00F40754" w:rsidRPr="006D1761" w:rsidRDefault="00F40754" w:rsidP="00F40754">
            <w:pPr>
              <w:spacing w:line="240" w:lineRule="auto"/>
              <w:jc w:val="right"/>
              <w:rPr>
                <w:rFonts w:cs="Arial"/>
                <w:color w:val="000000"/>
                <w:szCs w:val="20"/>
                <w:lang w:val="sl-SI"/>
              </w:rPr>
            </w:pPr>
          </w:p>
        </w:tc>
        <w:tc>
          <w:tcPr>
            <w:tcW w:w="1309" w:type="dxa"/>
            <w:tcBorders>
              <w:top w:val="single" w:sz="4" w:space="0" w:color="FFFFFF"/>
              <w:left w:val="single" w:sz="4" w:space="0" w:color="FFFFFF"/>
              <w:bottom w:val="single" w:sz="4" w:space="0" w:color="FFFFFF"/>
              <w:right w:val="nil"/>
            </w:tcBorders>
            <w:shd w:val="clear" w:color="D9E1F2" w:fill="D9E1F2"/>
            <w:noWrap/>
            <w:vAlign w:val="center"/>
          </w:tcPr>
          <w:p w14:paraId="769DE51A" w14:textId="0B14DB37" w:rsidR="00F40754" w:rsidRPr="006D1761" w:rsidRDefault="00F40754" w:rsidP="00F40754">
            <w:pPr>
              <w:spacing w:line="240" w:lineRule="auto"/>
              <w:jc w:val="right"/>
              <w:rPr>
                <w:rFonts w:cs="Arial"/>
                <w:color w:val="000000"/>
                <w:szCs w:val="20"/>
                <w:lang w:val="sl-SI"/>
              </w:rPr>
            </w:pPr>
          </w:p>
        </w:tc>
      </w:tr>
    </w:tbl>
    <w:p w14:paraId="4AA5772B" w14:textId="4B15F258" w:rsidR="00457E55" w:rsidRPr="006D1761" w:rsidRDefault="00457E55" w:rsidP="00457E55">
      <w:pPr>
        <w:spacing w:before="120" w:after="360" w:line="300" w:lineRule="atLeast"/>
        <w:jc w:val="both"/>
        <w:rPr>
          <w:rFonts w:cs="Arial"/>
          <w:szCs w:val="20"/>
          <w:lang w:val="sl-SI" w:eastAsia="sl-SI"/>
        </w:rPr>
      </w:pPr>
      <w:r w:rsidRPr="006D1761">
        <w:rPr>
          <w:rFonts w:cs="Arial"/>
          <w:szCs w:val="20"/>
          <w:lang w:val="sl-SI" w:eastAsia="sl-SI"/>
        </w:rPr>
        <w:lastRenderedPageBreak/>
        <w:t>Ocena temelji na projekciji končnega števila novih zaposlitev po letih, in sicer v letu 20</w:t>
      </w:r>
      <w:r w:rsidR="00725BD6" w:rsidRPr="006D1761">
        <w:rPr>
          <w:rFonts w:cs="Arial"/>
          <w:szCs w:val="20"/>
          <w:lang w:val="sl-SI" w:eastAsia="sl-SI"/>
        </w:rPr>
        <w:t>24</w:t>
      </w:r>
      <w:r w:rsidRPr="006D1761">
        <w:rPr>
          <w:rFonts w:cs="Arial"/>
          <w:szCs w:val="20"/>
          <w:lang w:val="sl-SI" w:eastAsia="sl-SI"/>
        </w:rPr>
        <w:t xml:space="preserve"> </w:t>
      </w:r>
      <w:r w:rsidR="00725BD6" w:rsidRPr="006D1761">
        <w:rPr>
          <w:rFonts w:cs="Arial"/>
          <w:szCs w:val="20"/>
          <w:lang w:val="sl-SI" w:eastAsia="sl-SI"/>
        </w:rPr>
        <w:t>xxx</w:t>
      </w:r>
      <w:r w:rsidRPr="006D1761">
        <w:rPr>
          <w:rFonts w:cs="Arial"/>
          <w:szCs w:val="20"/>
          <w:lang w:val="sl-SI" w:eastAsia="sl-SI"/>
        </w:rPr>
        <w:t>, v letu 20</w:t>
      </w:r>
      <w:r w:rsidR="00725BD6" w:rsidRPr="006D1761">
        <w:rPr>
          <w:rFonts w:cs="Arial"/>
          <w:szCs w:val="20"/>
          <w:lang w:val="sl-SI" w:eastAsia="sl-SI"/>
        </w:rPr>
        <w:t>25</w:t>
      </w:r>
      <w:r w:rsidRPr="006D1761">
        <w:rPr>
          <w:rFonts w:cs="Arial"/>
          <w:szCs w:val="20"/>
          <w:lang w:val="sl-SI" w:eastAsia="sl-SI"/>
        </w:rPr>
        <w:t xml:space="preserve"> </w:t>
      </w:r>
      <w:r w:rsidR="00725BD6" w:rsidRPr="006D1761">
        <w:rPr>
          <w:rFonts w:cs="Arial"/>
          <w:szCs w:val="20"/>
          <w:lang w:val="sl-SI" w:eastAsia="sl-SI"/>
        </w:rPr>
        <w:t>xxx</w:t>
      </w:r>
      <w:r w:rsidRPr="006D1761">
        <w:rPr>
          <w:rFonts w:cs="Arial"/>
          <w:szCs w:val="20"/>
          <w:lang w:val="sl-SI" w:eastAsia="sl-SI"/>
        </w:rPr>
        <w:t xml:space="preserve"> ter v letih 202</w:t>
      </w:r>
      <w:r w:rsidR="00725BD6" w:rsidRPr="006D1761">
        <w:rPr>
          <w:rFonts w:cs="Arial"/>
          <w:szCs w:val="20"/>
          <w:lang w:val="sl-SI" w:eastAsia="sl-SI"/>
        </w:rPr>
        <w:t>6</w:t>
      </w:r>
      <w:r w:rsidRPr="006D1761">
        <w:rPr>
          <w:rFonts w:cs="Arial"/>
          <w:szCs w:val="20"/>
          <w:lang w:val="sl-SI" w:eastAsia="sl-SI"/>
        </w:rPr>
        <w:t xml:space="preserve"> in 202</w:t>
      </w:r>
      <w:r w:rsidR="00725BD6" w:rsidRPr="006D1761">
        <w:rPr>
          <w:rFonts w:cs="Arial"/>
          <w:szCs w:val="20"/>
          <w:lang w:val="sl-SI" w:eastAsia="sl-SI"/>
        </w:rPr>
        <w:t>7</w:t>
      </w:r>
      <w:r w:rsidRPr="006D1761">
        <w:rPr>
          <w:rFonts w:cs="Arial"/>
          <w:szCs w:val="20"/>
          <w:lang w:val="sl-SI" w:eastAsia="sl-SI"/>
        </w:rPr>
        <w:t xml:space="preserve"> </w:t>
      </w:r>
      <w:r w:rsidR="00725BD6" w:rsidRPr="006D1761">
        <w:rPr>
          <w:rFonts w:cs="Arial"/>
          <w:szCs w:val="20"/>
          <w:lang w:val="sl-SI" w:eastAsia="sl-SI"/>
        </w:rPr>
        <w:t>xxx</w:t>
      </w:r>
      <w:r w:rsidRPr="006D1761">
        <w:rPr>
          <w:rFonts w:cs="Arial"/>
          <w:szCs w:val="20"/>
          <w:lang w:val="sl-SI" w:eastAsia="sl-SI"/>
        </w:rPr>
        <w:t xml:space="preserve"> zaposlitve, in pripadajočih stroških ter stroških za </w:t>
      </w:r>
      <w:r w:rsidRPr="006D1761">
        <w:rPr>
          <w:rFonts w:cs="Arial"/>
          <w:color w:val="000000"/>
          <w:szCs w:val="20"/>
          <w:lang w:val="sl-SI" w:eastAsia="sl-SI"/>
        </w:rPr>
        <w:t>investicije v strojno in programsko opremo za obvladovanje incidentov</w:t>
      </w:r>
      <w:r w:rsidRPr="006D1761">
        <w:rPr>
          <w:rFonts w:cs="Arial"/>
          <w:szCs w:val="20"/>
          <w:lang w:val="sl-SI" w:eastAsia="sl-SI"/>
        </w:rPr>
        <w:t xml:space="preserve">. </w:t>
      </w:r>
    </w:p>
    <w:p w14:paraId="3D7CE836" w14:textId="77777777" w:rsidR="00C0478B" w:rsidRPr="006D1761" w:rsidRDefault="00C0478B" w:rsidP="00A23D5D">
      <w:pPr>
        <w:tabs>
          <w:tab w:val="left" w:pos="1440"/>
        </w:tabs>
        <w:jc w:val="both"/>
        <w:rPr>
          <w:rFonts w:cs="Arial"/>
          <w:bCs/>
          <w:szCs w:val="20"/>
          <w:highlight w:val="yellow"/>
          <w:lang w:val="sl-SI"/>
        </w:rPr>
      </w:pPr>
    </w:p>
    <w:p w14:paraId="4DB97043" w14:textId="77777777" w:rsidR="00A23D5D" w:rsidRPr="006D1761" w:rsidRDefault="00A23D5D" w:rsidP="00A23D5D">
      <w:pPr>
        <w:suppressAutoHyphens/>
        <w:overflowPunct w:val="0"/>
        <w:autoSpaceDE w:val="0"/>
        <w:autoSpaceDN w:val="0"/>
        <w:adjustRightInd w:val="0"/>
        <w:spacing w:line="276" w:lineRule="auto"/>
        <w:jc w:val="both"/>
        <w:textAlignment w:val="baseline"/>
        <w:outlineLvl w:val="3"/>
        <w:rPr>
          <w:rFonts w:cs="Arial"/>
          <w:b/>
          <w:szCs w:val="20"/>
          <w:lang w:val="sl-SI"/>
        </w:rPr>
      </w:pPr>
      <w:r w:rsidRPr="006D1761">
        <w:rPr>
          <w:rFonts w:cs="Arial"/>
          <w:b/>
          <w:szCs w:val="20"/>
          <w:lang w:val="sl-SI"/>
        </w:rPr>
        <w:t>4. NAVEDBA, DA SO SREDSTVA ZA IZVAJANJE ZAKONA V DRŽAVNEM PRORAČUNU ZAGOTOVLJENA, ČE PREDLOG ZAKONA PREDVIDEVA PORABO PRORAČUNSKIH SREDSTEV V OBDOBJU, ZA KATERO JE BIL DRŽAVNI PRORAČUN ŽE SPREJET</w:t>
      </w:r>
    </w:p>
    <w:p w14:paraId="31F5C4A1" w14:textId="423197C0" w:rsidR="00903F15" w:rsidRPr="006D1761" w:rsidRDefault="00903F15" w:rsidP="00903F15">
      <w:pPr>
        <w:spacing w:before="240" w:after="240" w:line="300" w:lineRule="atLeast"/>
        <w:jc w:val="both"/>
        <w:rPr>
          <w:rFonts w:cs="Arial"/>
          <w:szCs w:val="20"/>
          <w:lang w:val="sl-SI" w:eastAsia="sl-SI"/>
        </w:rPr>
      </w:pPr>
      <w:r w:rsidRPr="006D1761">
        <w:rPr>
          <w:rFonts w:cs="Arial"/>
          <w:szCs w:val="20"/>
          <w:lang w:val="sl-SI" w:eastAsia="sl-SI"/>
        </w:rPr>
        <w:t>Za izvajanje zakona so za leto 2024 zagotovljena sredstva v državnem proračunu, in sicer v okviru Urada Vlade Republike Slovenije za informacijsko varnost,</w:t>
      </w:r>
      <w:r w:rsidR="00A2556F">
        <w:rPr>
          <w:rFonts w:cs="Arial"/>
          <w:szCs w:val="20"/>
          <w:lang w:val="sl-SI" w:eastAsia="sl-SI"/>
        </w:rPr>
        <w:t xml:space="preserve"> Ministrstv</w:t>
      </w:r>
      <w:r w:rsidR="00192D96">
        <w:rPr>
          <w:rFonts w:cs="Arial"/>
          <w:szCs w:val="20"/>
          <w:lang w:val="sl-SI" w:eastAsia="sl-SI"/>
        </w:rPr>
        <w:t>a</w:t>
      </w:r>
      <w:r w:rsidR="00A2556F">
        <w:rPr>
          <w:rFonts w:cs="Arial"/>
          <w:szCs w:val="20"/>
          <w:lang w:val="sl-SI" w:eastAsia="sl-SI"/>
        </w:rPr>
        <w:t xml:space="preserve"> za obrambo, Ministrstv</w:t>
      </w:r>
      <w:r w:rsidR="00192D96">
        <w:rPr>
          <w:rFonts w:cs="Arial"/>
          <w:szCs w:val="20"/>
          <w:lang w:val="sl-SI" w:eastAsia="sl-SI"/>
        </w:rPr>
        <w:t>a</w:t>
      </w:r>
      <w:r w:rsidR="00A2556F">
        <w:rPr>
          <w:rFonts w:cs="Arial"/>
          <w:szCs w:val="20"/>
          <w:lang w:val="sl-SI" w:eastAsia="sl-SI"/>
        </w:rPr>
        <w:t xml:space="preserve"> za digitalno preobrazbo, Ministrstv</w:t>
      </w:r>
      <w:r w:rsidR="00192D96">
        <w:rPr>
          <w:rFonts w:cs="Arial"/>
          <w:szCs w:val="20"/>
          <w:lang w:val="sl-SI" w:eastAsia="sl-SI"/>
        </w:rPr>
        <w:t>a</w:t>
      </w:r>
      <w:r w:rsidR="00A2556F">
        <w:rPr>
          <w:rFonts w:cs="Arial"/>
          <w:szCs w:val="20"/>
          <w:lang w:val="sl-SI" w:eastAsia="sl-SI"/>
        </w:rPr>
        <w:t xml:space="preserve"> za notranje zadeve in Slovenske obveščevalno-varnostne agencije. </w:t>
      </w:r>
    </w:p>
    <w:p w14:paraId="4BE82A1E" w14:textId="77777777" w:rsidR="00A23D5D" w:rsidRPr="006D1761" w:rsidRDefault="00A23D5D" w:rsidP="00A23D5D">
      <w:pPr>
        <w:jc w:val="both"/>
        <w:rPr>
          <w:rFonts w:cs="Arial"/>
          <w:bCs/>
          <w:szCs w:val="20"/>
          <w:highlight w:val="yellow"/>
          <w:lang w:val="sl-SI"/>
        </w:rPr>
      </w:pPr>
    </w:p>
    <w:p w14:paraId="24A4921F" w14:textId="77777777" w:rsidR="00A23D5D" w:rsidRPr="006D1761" w:rsidRDefault="00A23D5D" w:rsidP="00A23D5D">
      <w:pPr>
        <w:suppressAutoHyphens/>
        <w:overflowPunct w:val="0"/>
        <w:autoSpaceDE w:val="0"/>
        <w:autoSpaceDN w:val="0"/>
        <w:adjustRightInd w:val="0"/>
        <w:spacing w:line="276" w:lineRule="auto"/>
        <w:jc w:val="both"/>
        <w:textAlignment w:val="baseline"/>
        <w:outlineLvl w:val="3"/>
        <w:rPr>
          <w:rFonts w:cs="Arial"/>
          <w:b/>
          <w:szCs w:val="20"/>
          <w:lang w:val="sl-SI"/>
        </w:rPr>
      </w:pPr>
      <w:bookmarkStart w:id="9" w:name="_Hlk125624398"/>
      <w:r w:rsidRPr="006D1761">
        <w:rPr>
          <w:rFonts w:cs="Arial"/>
          <w:b/>
          <w:szCs w:val="20"/>
          <w:lang w:val="sl-SI"/>
        </w:rPr>
        <w:t>5. PRIKAZ UREDITVE V DRUGIH PRAVNIH SISTEMIH IN PRILAGOJENOSTI PREDLAGANE UREDITVE PRAVU EVROPSKE UNIJE</w:t>
      </w:r>
    </w:p>
    <w:p w14:paraId="6394089D" w14:textId="77777777" w:rsidR="00903F15" w:rsidRPr="006D1761" w:rsidRDefault="00903F15" w:rsidP="00A23D5D">
      <w:pPr>
        <w:suppressAutoHyphens/>
        <w:overflowPunct w:val="0"/>
        <w:autoSpaceDE w:val="0"/>
        <w:autoSpaceDN w:val="0"/>
        <w:adjustRightInd w:val="0"/>
        <w:spacing w:line="276" w:lineRule="auto"/>
        <w:jc w:val="both"/>
        <w:textAlignment w:val="baseline"/>
        <w:outlineLvl w:val="3"/>
        <w:rPr>
          <w:rFonts w:cs="Arial"/>
          <w:b/>
          <w:szCs w:val="20"/>
          <w:lang w:val="sl-SI"/>
        </w:rPr>
      </w:pPr>
    </w:p>
    <w:p w14:paraId="6784625D" w14:textId="77777777" w:rsidR="00903F15" w:rsidRPr="006D1761" w:rsidRDefault="00903F15" w:rsidP="00903F15">
      <w:pPr>
        <w:jc w:val="both"/>
        <w:rPr>
          <w:rFonts w:cs="Arial"/>
          <w:b/>
          <w:szCs w:val="20"/>
          <w:lang w:val="sl-SI"/>
        </w:rPr>
      </w:pPr>
      <w:r w:rsidRPr="006D1761">
        <w:rPr>
          <w:rFonts w:cs="Arial"/>
          <w:b/>
          <w:szCs w:val="20"/>
          <w:lang w:val="sl-SI"/>
        </w:rPr>
        <w:t>Prikaz ureditve v pravnem redu EU</w:t>
      </w:r>
    </w:p>
    <w:p w14:paraId="5CBE8531" w14:textId="77777777" w:rsidR="00903F15" w:rsidRPr="006D1761" w:rsidRDefault="00903F15" w:rsidP="00903F15">
      <w:pPr>
        <w:jc w:val="both"/>
        <w:rPr>
          <w:rFonts w:cs="Arial"/>
          <w:szCs w:val="20"/>
          <w:lang w:val="sl-SI"/>
        </w:rPr>
      </w:pPr>
      <w:r w:rsidRPr="006D1761">
        <w:rPr>
          <w:rFonts w:cs="Arial"/>
          <w:szCs w:val="20"/>
          <w:lang w:val="sl-SI"/>
        </w:rPr>
        <w:t>Predlog zakona je usklajen s pravnim redom EU.</w:t>
      </w:r>
    </w:p>
    <w:p w14:paraId="59690004" w14:textId="77777777" w:rsidR="00903F15" w:rsidRPr="006D1761" w:rsidRDefault="00903F15" w:rsidP="00A23D5D">
      <w:pPr>
        <w:spacing w:line="276" w:lineRule="auto"/>
        <w:jc w:val="both"/>
        <w:rPr>
          <w:rFonts w:cs="Arial"/>
          <w:b/>
          <w:szCs w:val="20"/>
          <w:highlight w:val="yellow"/>
          <w:lang w:val="sl-SI"/>
        </w:rPr>
      </w:pPr>
    </w:p>
    <w:p w14:paraId="22960525" w14:textId="77777777" w:rsidR="00903F15" w:rsidRPr="006D1761" w:rsidRDefault="00903F15" w:rsidP="00903F15">
      <w:pPr>
        <w:jc w:val="both"/>
        <w:rPr>
          <w:rFonts w:cs="Arial"/>
          <w:b/>
          <w:szCs w:val="20"/>
          <w:lang w:val="sl-SI"/>
        </w:rPr>
      </w:pPr>
      <w:r w:rsidRPr="006D1761">
        <w:rPr>
          <w:rFonts w:cs="Arial"/>
          <w:b/>
          <w:szCs w:val="20"/>
          <w:lang w:val="sl-SI"/>
        </w:rPr>
        <w:t xml:space="preserve">Prikaz ureditve v najmanj treh pravnih sistemih držav članic EU </w:t>
      </w:r>
    </w:p>
    <w:p w14:paraId="077F7509" w14:textId="77777777" w:rsidR="00434719" w:rsidRPr="006D1761" w:rsidRDefault="00903F15" w:rsidP="00434719">
      <w:pPr>
        <w:spacing w:after="240" w:line="300" w:lineRule="atLeast"/>
        <w:jc w:val="both"/>
        <w:rPr>
          <w:rFonts w:cs="Arial"/>
          <w:szCs w:val="20"/>
          <w:lang w:val="sl-SI"/>
        </w:rPr>
      </w:pPr>
      <w:r w:rsidRPr="006D1761">
        <w:rPr>
          <w:rFonts w:cs="Arial"/>
          <w:szCs w:val="20"/>
          <w:lang w:val="sl-SI"/>
        </w:rPr>
        <w:t>Za primerjanje stanja na področju, ki ureja ukrepe za doseganje o ukrepih za visoko skupno raven kibernetske varnosti v Evropski uniji, v nadaljevanju predstavljamo predvidene zakonodajne rešitve treh držav, in sicer Italijanske republike, Češke republike in Francoske republike.</w:t>
      </w:r>
    </w:p>
    <w:p w14:paraId="3BB102D8" w14:textId="286A0CF2" w:rsidR="00A23D5D" w:rsidRPr="006D1761" w:rsidRDefault="004C0F42" w:rsidP="00434719">
      <w:pPr>
        <w:spacing w:after="240" w:line="300" w:lineRule="atLeast"/>
        <w:jc w:val="both"/>
        <w:rPr>
          <w:rFonts w:cs="Arial"/>
          <w:b/>
          <w:szCs w:val="20"/>
          <w:lang w:val="sl-SI"/>
        </w:rPr>
      </w:pPr>
      <w:r w:rsidRPr="006D1761">
        <w:rPr>
          <w:rFonts w:cs="Arial"/>
          <w:b/>
          <w:szCs w:val="20"/>
          <w:lang w:val="sl-SI"/>
        </w:rPr>
        <w:t>Italijanska republika</w:t>
      </w:r>
    </w:p>
    <w:p w14:paraId="478D813D" w14:textId="77777777" w:rsidR="00085854" w:rsidRPr="00085854" w:rsidRDefault="00085854" w:rsidP="00085854">
      <w:pPr>
        <w:spacing w:line="276" w:lineRule="auto"/>
        <w:jc w:val="both"/>
        <w:rPr>
          <w:rFonts w:cs="Arial"/>
          <w:szCs w:val="20"/>
          <w:lang w:val="sl-SI"/>
        </w:rPr>
      </w:pPr>
      <w:r w:rsidRPr="00085854">
        <w:rPr>
          <w:rFonts w:cs="Arial"/>
          <w:szCs w:val="20"/>
          <w:lang w:val="sl-SI"/>
        </w:rPr>
        <w:t>Pristojni nacionalni organ za kibernetsko varnost je agencija za kibernetsko varnost (AgID). Zakonodajni odlok z dne 18. maja 2018, št. 65, za izvajanje Direktive (EU) 2016/1148 Evropskega parlamenta in Sveta z dne 6. julija 2016 o določitvi ukrepov za visoko skupno raven varnosti omrežja in informacijskih sistemov v Uniji v določbi 19. člena določa inšpekcijska pooblastila za dejavnosti inšpekcij in preverjanj, potrebnih za nadzor nad izvajanjem ukrepov iz 12., 13., 14. in 15. člena tega odloka, italijanskemu pristojnemu nacionalnemu organu, to je agenciji za kibernetsko varnost.</w:t>
      </w:r>
    </w:p>
    <w:p w14:paraId="1AA3DFCC" w14:textId="77777777" w:rsidR="00085854" w:rsidRPr="00085854" w:rsidRDefault="00085854" w:rsidP="00085854">
      <w:pPr>
        <w:spacing w:line="276" w:lineRule="auto"/>
        <w:jc w:val="both"/>
        <w:rPr>
          <w:rFonts w:cs="Arial"/>
          <w:szCs w:val="20"/>
          <w:lang w:val="sl-SI"/>
        </w:rPr>
      </w:pPr>
    </w:p>
    <w:p w14:paraId="1BCD5866" w14:textId="77777777" w:rsidR="00085854" w:rsidRDefault="00085854" w:rsidP="00085854">
      <w:pPr>
        <w:spacing w:line="276" w:lineRule="auto"/>
        <w:jc w:val="both"/>
        <w:rPr>
          <w:rFonts w:cs="Arial"/>
          <w:szCs w:val="20"/>
          <w:lang w:val="sl-SI"/>
        </w:rPr>
      </w:pPr>
      <w:r w:rsidRPr="00085854">
        <w:rPr>
          <w:rFonts w:cs="Arial"/>
          <w:szCs w:val="20"/>
          <w:lang w:val="sl-SI"/>
        </w:rPr>
        <w:t>V okviru agencije za kibernetsko varnost deluje tudi skupina za odzivanje na kibernetske grožnje in incidente (CSIRT). CSIRT Italije je odgovoren za usklajevanje in podporo dejavnosti nacionalne mreže CSIRT, ki vključuje skupine CSIRT iz različnih sektorjev, vključno z vlado, kritično infrastrukturo in zasebnimi podjetji. AgID svojim članom zagotavlja tudi tehnično pomoč, upravljanje incidentov in storitve za izmenjavo informacij. Skupina CSIRT tesno sodeluje tudi z drugimi nacionalnimi in mednarodnimi organizacijami, da bi zagotovila pripravljenost Italije na odzivanje na kibernetske grožnje in incidente.</w:t>
      </w:r>
    </w:p>
    <w:p w14:paraId="5DE15F7C" w14:textId="77777777" w:rsidR="00085854" w:rsidRPr="00085854" w:rsidRDefault="00085854" w:rsidP="00085854">
      <w:pPr>
        <w:spacing w:line="276" w:lineRule="auto"/>
        <w:jc w:val="both"/>
        <w:rPr>
          <w:rFonts w:cs="Arial"/>
          <w:szCs w:val="20"/>
          <w:lang w:val="sl-SI"/>
        </w:rPr>
      </w:pPr>
    </w:p>
    <w:p w14:paraId="556CF150" w14:textId="7692AF68" w:rsidR="00085854" w:rsidRDefault="00085854" w:rsidP="00085854">
      <w:pPr>
        <w:spacing w:line="276" w:lineRule="auto"/>
        <w:jc w:val="both"/>
        <w:rPr>
          <w:rFonts w:cs="Arial"/>
          <w:szCs w:val="20"/>
          <w:lang w:val="sl-SI"/>
        </w:rPr>
      </w:pPr>
      <w:r w:rsidRPr="00085854">
        <w:rPr>
          <w:rFonts w:cs="Arial"/>
          <w:szCs w:val="20"/>
          <w:lang w:val="sl-SI"/>
        </w:rPr>
        <w:t>V Italiji izvajanje zakona po direktivi NIS 2 še ni uradno implementirano. Osnutek zakona, ki bo na italijansko vlado prenesel pooblastilo za izdajo zakonodajnega odloka za izvajanje direktive NIS 2, čaka na sprejem s strani parlamenta</w:t>
      </w:r>
      <w:r>
        <w:rPr>
          <w:rFonts w:cs="Arial"/>
          <w:szCs w:val="20"/>
          <w:lang w:val="sl-SI"/>
        </w:rPr>
        <w:t>.</w:t>
      </w:r>
      <w:r w:rsidRPr="00085854">
        <w:rPr>
          <w:rFonts w:cs="Arial"/>
          <w:szCs w:val="20"/>
          <w:lang w:val="sl-SI"/>
        </w:rPr>
        <w:t xml:space="preserve"> Načeloma bodo ohranili ureditev kot so jo imeli do sedaj. Strmijo k okrepljenem</w:t>
      </w:r>
      <w:r>
        <w:rPr>
          <w:rFonts w:cs="Arial"/>
          <w:szCs w:val="20"/>
          <w:lang w:val="sl-SI"/>
        </w:rPr>
        <w:t>u</w:t>
      </w:r>
      <w:r w:rsidRPr="00085854">
        <w:rPr>
          <w:rFonts w:cs="Arial"/>
          <w:szCs w:val="20"/>
          <w:lang w:val="sl-SI"/>
        </w:rPr>
        <w:t xml:space="preserve"> obvladovanju kibernetskih kriz z nacionalno celico za kibernetsko varnost (NCS) in agencijo v njenem jedru. Aktualni nadzorni organ je »Agenzia per la Cybersicurezza Nazionale« (krajše »ACN«) oziroma Nacionalna agencija za kibernetsko varnost (AgID). Trenutno besedilo osnutka zakona o prenosu pooblastil določa, da bo ACN potrjen kot </w:t>
      </w:r>
      <w:r w:rsidRPr="00085854">
        <w:rPr>
          <w:rFonts w:cs="Arial"/>
          <w:szCs w:val="20"/>
          <w:lang w:val="sl-SI"/>
        </w:rPr>
        <w:lastRenderedPageBreak/>
        <w:t>ustrezni organ direktive NIS 2. Med trenutnimi pristojnostmi ACN je regulativna dejavnost, vključno z izvajanjem direktive NIS 2: Autorità e sanzioni – Agenzia per la cybersicurezza nazionale.</w:t>
      </w:r>
    </w:p>
    <w:p w14:paraId="259E797D" w14:textId="77777777" w:rsidR="00085854" w:rsidRPr="00085854" w:rsidRDefault="00085854" w:rsidP="00085854">
      <w:pPr>
        <w:spacing w:line="276" w:lineRule="auto"/>
        <w:jc w:val="both"/>
        <w:rPr>
          <w:rFonts w:cs="Arial"/>
          <w:szCs w:val="20"/>
          <w:lang w:val="sl-SI"/>
        </w:rPr>
      </w:pPr>
    </w:p>
    <w:p w14:paraId="10C6E1FA" w14:textId="32E179F2" w:rsidR="00A23D5D" w:rsidRPr="006D1761" w:rsidRDefault="00085854" w:rsidP="00085854">
      <w:pPr>
        <w:spacing w:line="276" w:lineRule="auto"/>
        <w:jc w:val="both"/>
        <w:rPr>
          <w:rFonts w:cs="Arial"/>
          <w:szCs w:val="20"/>
          <w:lang w:val="sl-SI"/>
        </w:rPr>
      </w:pPr>
      <w:r w:rsidRPr="00085854">
        <w:rPr>
          <w:rFonts w:cs="Arial"/>
          <w:szCs w:val="20"/>
          <w:lang w:val="sl-SI"/>
        </w:rPr>
        <w:t xml:space="preserve">Kar se tiče CSIRT-a in tehnične podpore strmijo k popolni integraciji s EU, NATO-m in ostalimi mednarodno relevantnimi mehanizmi. Poleg tega imajo v nacionalni strategiji </w:t>
      </w:r>
      <w:r>
        <w:rPr>
          <w:rFonts w:cs="Arial"/>
          <w:szCs w:val="20"/>
          <w:lang w:val="sl-SI"/>
        </w:rPr>
        <w:t>osem</w:t>
      </w:r>
      <w:r w:rsidRPr="00085854">
        <w:rPr>
          <w:rFonts w:cs="Arial"/>
          <w:szCs w:val="20"/>
          <w:lang w:val="sl-SI"/>
        </w:rPr>
        <w:t xml:space="preserve"> ukrepov, namenjenih nacionalnim kibernetskim storitvam, vkl</w:t>
      </w:r>
      <w:r>
        <w:rPr>
          <w:rFonts w:cs="Arial"/>
          <w:szCs w:val="20"/>
          <w:lang w:val="sl-SI"/>
        </w:rPr>
        <w:t>j</w:t>
      </w:r>
      <w:r w:rsidRPr="00085854">
        <w:rPr>
          <w:rFonts w:cs="Arial"/>
          <w:szCs w:val="20"/>
          <w:lang w:val="sl-SI"/>
        </w:rPr>
        <w:t>učno s HyperSOC, HPC in ISAC (podprt s skladi za okrevanje in odpornost)</w:t>
      </w:r>
    </w:p>
    <w:p w14:paraId="1FC1B47D" w14:textId="4ACC831F" w:rsidR="00255968" w:rsidRPr="006D1761" w:rsidRDefault="00255968" w:rsidP="00255968">
      <w:pPr>
        <w:jc w:val="both"/>
        <w:rPr>
          <w:highlight w:val="yellow"/>
          <w:lang w:val="sl-SI"/>
        </w:rPr>
      </w:pPr>
    </w:p>
    <w:p w14:paraId="337E62F1" w14:textId="77777777" w:rsidR="00A23D5D" w:rsidRPr="006D1761" w:rsidRDefault="00A23D5D" w:rsidP="00A23D5D">
      <w:pPr>
        <w:spacing w:line="276" w:lineRule="auto"/>
        <w:jc w:val="both"/>
        <w:rPr>
          <w:rFonts w:cs="Arial"/>
          <w:b/>
          <w:szCs w:val="20"/>
          <w:lang w:val="sl-SI"/>
        </w:rPr>
      </w:pPr>
      <w:r w:rsidRPr="006D1761">
        <w:rPr>
          <w:rFonts w:cs="Arial"/>
          <w:b/>
          <w:szCs w:val="20"/>
          <w:lang w:val="sl-SI"/>
        </w:rPr>
        <w:t>Češka republika</w:t>
      </w:r>
    </w:p>
    <w:p w14:paraId="12A683C2" w14:textId="77777777" w:rsidR="00A23D5D" w:rsidRPr="006D1761" w:rsidRDefault="00A23D5D" w:rsidP="00A23D5D">
      <w:pPr>
        <w:spacing w:line="276" w:lineRule="auto"/>
        <w:jc w:val="both"/>
        <w:rPr>
          <w:rFonts w:cs="Arial"/>
          <w:b/>
          <w:szCs w:val="20"/>
          <w:lang w:val="sl-SI"/>
        </w:rPr>
      </w:pPr>
    </w:p>
    <w:p w14:paraId="35DB7F39" w14:textId="6E585870" w:rsidR="004C0F42" w:rsidRPr="006D1761" w:rsidRDefault="004C0F42" w:rsidP="004C0F42">
      <w:pPr>
        <w:jc w:val="both"/>
        <w:rPr>
          <w:lang w:val="sl-SI"/>
        </w:rPr>
      </w:pPr>
      <w:r w:rsidRPr="006D1761">
        <w:rPr>
          <w:lang w:val="sl-SI"/>
        </w:rPr>
        <w:t xml:space="preserve">Pristojni nacionalni organ ima oddelek za </w:t>
      </w:r>
      <w:r w:rsidR="007E354F" w:rsidRPr="006D1761">
        <w:rPr>
          <w:lang w:val="sl-SI"/>
        </w:rPr>
        <w:t>zakonsko urejanje</w:t>
      </w:r>
      <w:r w:rsidRPr="006D1761">
        <w:rPr>
          <w:lang w:val="sl-SI"/>
        </w:rPr>
        <w:t>, ki skrbi za zadeve</w:t>
      </w:r>
      <w:r w:rsidR="007E354F" w:rsidRPr="006D1761">
        <w:rPr>
          <w:lang w:val="sl-SI"/>
        </w:rPr>
        <w:t>,</w:t>
      </w:r>
      <w:r w:rsidRPr="006D1761">
        <w:rPr>
          <w:lang w:val="sl-SI"/>
        </w:rPr>
        <w:t xml:space="preserve"> povezane z zakonom št. 181/2014</w:t>
      </w:r>
      <w:r w:rsidR="00AF7AD1" w:rsidRPr="006D1761">
        <w:rPr>
          <w:lang w:val="sl-SI"/>
        </w:rPr>
        <w:t>,</w:t>
      </w:r>
      <w:r w:rsidRPr="006D1761">
        <w:rPr>
          <w:lang w:val="sl-SI"/>
        </w:rPr>
        <w:t xml:space="preserve"> </w:t>
      </w:r>
      <w:r w:rsidR="007E354F" w:rsidRPr="006D1761">
        <w:rPr>
          <w:lang w:val="sl-SI"/>
        </w:rPr>
        <w:t>z</w:t>
      </w:r>
      <w:r w:rsidRPr="006D1761">
        <w:rPr>
          <w:lang w:val="sl-SI"/>
        </w:rPr>
        <w:t>b. z dne 23. julija 2014</w:t>
      </w:r>
      <w:r w:rsidR="00AF7AD1" w:rsidRPr="006D1761">
        <w:rPr>
          <w:lang w:val="sl-SI"/>
        </w:rPr>
        <w:t>,</w:t>
      </w:r>
      <w:r w:rsidRPr="006D1761">
        <w:rPr>
          <w:lang w:val="sl-SI"/>
        </w:rPr>
        <w:t xml:space="preserve"> o kibernetski varnosti in spremembi povezanih zakonov (</w:t>
      </w:r>
      <w:r w:rsidR="007E354F" w:rsidRPr="006D1761">
        <w:rPr>
          <w:lang w:val="sl-SI"/>
        </w:rPr>
        <w:t>z</w:t>
      </w:r>
      <w:r w:rsidRPr="006D1761">
        <w:rPr>
          <w:lang w:val="sl-SI"/>
        </w:rPr>
        <w:t>akon o kibernetski varnosti)</w:t>
      </w:r>
      <w:r w:rsidR="007E354F" w:rsidRPr="006D1761">
        <w:rPr>
          <w:lang w:val="sl-SI"/>
        </w:rPr>
        <w:t>,</w:t>
      </w:r>
      <w:r w:rsidRPr="006D1761">
        <w:rPr>
          <w:lang w:val="sl-SI"/>
        </w:rPr>
        <w:t xml:space="preserve"> </w:t>
      </w:r>
      <w:r w:rsidR="007E354F" w:rsidRPr="006D1761">
        <w:rPr>
          <w:lang w:val="sl-SI"/>
        </w:rPr>
        <w:t>ter s</w:t>
      </w:r>
      <w:r w:rsidRPr="006D1761">
        <w:rPr>
          <w:lang w:val="sl-SI"/>
        </w:rPr>
        <w:t xml:space="preserve">lužbo za revizijo, ki nadzoruje izpolnjevanje zahtev </w:t>
      </w:r>
      <w:r w:rsidR="007E354F" w:rsidRPr="006D1761">
        <w:rPr>
          <w:lang w:val="sl-SI"/>
        </w:rPr>
        <w:t>iz z</w:t>
      </w:r>
      <w:r w:rsidRPr="006D1761">
        <w:rPr>
          <w:lang w:val="sl-SI"/>
        </w:rPr>
        <w:t xml:space="preserve">akona o kibernetski varnosti pri zavezancih. Skupaj z </w:t>
      </w:r>
      <w:r w:rsidR="007E354F" w:rsidRPr="006D1761">
        <w:rPr>
          <w:lang w:val="sl-SI"/>
        </w:rPr>
        <w:t xml:space="preserve">oddelkom </w:t>
      </w:r>
      <w:r w:rsidRPr="006D1761">
        <w:rPr>
          <w:lang w:val="sl-SI"/>
        </w:rPr>
        <w:t xml:space="preserve">za </w:t>
      </w:r>
      <w:r w:rsidR="007E354F" w:rsidRPr="006D1761">
        <w:rPr>
          <w:lang w:val="sl-SI"/>
        </w:rPr>
        <w:t>zakonsko urejanje</w:t>
      </w:r>
      <w:r w:rsidRPr="006D1761">
        <w:rPr>
          <w:lang w:val="sl-SI"/>
        </w:rPr>
        <w:t xml:space="preserve"> sodeluje pri pripravi zakonodaje s področja kibernetske varnosti in zagotavlja metodološko podporo zavezancem. Služba za revizijo sodeluje z drugimi revizijskimi organi, katerih dejavnosti na področju kibernetske varnosti se prekrivajo.</w:t>
      </w:r>
    </w:p>
    <w:p w14:paraId="631774CB" w14:textId="77777777" w:rsidR="00434719" w:rsidRPr="006D1761" w:rsidRDefault="00434719" w:rsidP="004C0F42">
      <w:pPr>
        <w:jc w:val="both"/>
        <w:rPr>
          <w:lang w:val="sl-SI"/>
        </w:rPr>
      </w:pPr>
    </w:p>
    <w:p w14:paraId="73EC728B" w14:textId="6014F57A" w:rsidR="004C0F42" w:rsidRPr="006D1761" w:rsidRDefault="004C0F42" w:rsidP="004C0F42">
      <w:pPr>
        <w:spacing w:line="276" w:lineRule="auto"/>
        <w:jc w:val="both"/>
        <w:rPr>
          <w:rFonts w:cs="Arial"/>
          <w:bCs/>
          <w:szCs w:val="20"/>
          <w:lang w:val="sl-SI"/>
        </w:rPr>
      </w:pPr>
      <w:r w:rsidRPr="006D1761">
        <w:rPr>
          <w:rFonts w:cs="Arial"/>
          <w:bCs/>
          <w:szCs w:val="20"/>
          <w:lang w:val="sl-SI"/>
        </w:rPr>
        <w:t xml:space="preserve">Na operativni ravni deluje vladni CERT (GovCERT.CZ), </w:t>
      </w:r>
      <w:r w:rsidR="007E354F" w:rsidRPr="006D1761">
        <w:rPr>
          <w:rFonts w:cs="Arial"/>
          <w:bCs/>
          <w:szCs w:val="20"/>
          <w:lang w:val="sl-SI"/>
        </w:rPr>
        <w:t xml:space="preserve">katerega </w:t>
      </w:r>
      <w:r w:rsidRPr="006D1761">
        <w:rPr>
          <w:rFonts w:cs="Arial"/>
          <w:bCs/>
          <w:szCs w:val="20"/>
          <w:lang w:val="sl-SI"/>
        </w:rPr>
        <w:t xml:space="preserve">glavne naloge so zbiranje priglasitev kibernetskih incidentov od določenih subjektov, njihova analiza in pomoč. Zakon o kibernetski varnosti je uvedel obveznost priglasitve kibernetskih incidentov za subjekte, ki upravljajo kritično informacijsko infrastrukturo, vladno in z njo povezano informacijsko infrastrukturo ter internetna vozlišča, ki omogočajo neposredno povezavo do kritične informacijske infrastrukture ali omrežij v tujini. Ti subjekti </w:t>
      </w:r>
      <w:r w:rsidR="007E354F" w:rsidRPr="006D1761">
        <w:rPr>
          <w:rFonts w:cs="Arial"/>
          <w:bCs/>
          <w:szCs w:val="20"/>
          <w:lang w:val="sl-SI"/>
        </w:rPr>
        <w:t>morajo</w:t>
      </w:r>
      <w:r w:rsidRPr="006D1761">
        <w:rPr>
          <w:rFonts w:cs="Arial"/>
          <w:bCs/>
          <w:szCs w:val="20"/>
          <w:lang w:val="sl-SI"/>
        </w:rPr>
        <w:t xml:space="preserve"> izvajati preventivne varnostne ukrepe, ki segajo od zagotavljanja fizične varnosti do kriptografije, ter priglašati kibernetske incidente vladnemu CERT. Drugi ponudniki internetnih storitev priglašajo kibernetske incidente nacionalnemu CERT (trenutno CSIRT.CZ), ki opravlja storitve za zasebni sektor. </w:t>
      </w:r>
    </w:p>
    <w:p w14:paraId="1B42FCE4" w14:textId="1998E874" w:rsidR="004C0F42" w:rsidRPr="006D1761" w:rsidRDefault="004C0F42" w:rsidP="004C0F42">
      <w:pPr>
        <w:jc w:val="both"/>
        <w:rPr>
          <w:rFonts w:ascii="Calibri" w:hAnsi="Calibri"/>
          <w:szCs w:val="22"/>
          <w:highlight w:val="yellow"/>
          <w:lang w:val="sl-SI"/>
        </w:rPr>
      </w:pPr>
    </w:p>
    <w:p w14:paraId="31A02D5B" w14:textId="77777777" w:rsidR="00A23D5D" w:rsidRPr="006D1761" w:rsidRDefault="00A23D5D" w:rsidP="00A23D5D">
      <w:pPr>
        <w:spacing w:line="276" w:lineRule="auto"/>
        <w:jc w:val="both"/>
        <w:rPr>
          <w:rFonts w:cs="Arial"/>
          <w:b/>
          <w:bCs/>
          <w:szCs w:val="20"/>
          <w:lang w:val="sl-SI"/>
        </w:rPr>
      </w:pPr>
      <w:r w:rsidRPr="006D1761">
        <w:rPr>
          <w:rFonts w:cs="Arial"/>
          <w:b/>
          <w:bCs/>
          <w:szCs w:val="20"/>
          <w:lang w:val="sl-SI"/>
        </w:rPr>
        <w:t>Francoska republika</w:t>
      </w:r>
    </w:p>
    <w:p w14:paraId="68F8C9AF" w14:textId="77777777" w:rsidR="00A23D5D" w:rsidRPr="006D1761" w:rsidRDefault="00A23D5D" w:rsidP="00A23D5D">
      <w:pPr>
        <w:spacing w:line="276" w:lineRule="auto"/>
        <w:jc w:val="both"/>
        <w:rPr>
          <w:rFonts w:cs="Arial"/>
          <w:szCs w:val="20"/>
          <w:lang w:val="sl-SI"/>
        </w:rPr>
      </w:pPr>
    </w:p>
    <w:p w14:paraId="2B5E1F4F" w14:textId="22A60E1F" w:rsidR="00A23D5D" w:rsidRPr="006D1761" w:rsidRDefault="00A23D5D" w:rsidP="00A23D5D">
      <w:pPr>
        <w:spacing w:line="276" w:lineRule="auto"/>
        <w:jc w:val="both"/>
        <w:rPr>
          <w:rFonts w:cs="Arial"/>
          <w:bCs/>
          <w:szCs w:val="20"/>
          <w:lang w:val="sl-SI"/>
        </w:rPr>
      </w:pPr>
      <w:r w:rsidRPr="006D1761">
        <w:rPr>
          <w:rFonts w:cs="Arial"/>
          <w:bCs/>
          <w:szCs w:val="20"/>
          <w:lang w:val="sl-SI"/>
        </w:rPr>
        <w:t>Francoska nacionalna agencija za kibernetsko varnost (</w:t>
      </w:r>
      <w:r w:rsidRPr="006D1761">
        <w:rPr>
          <w:rFonts w:cs="Arial"/>
          <w:bCs/>
          <w:i/>
          <w:szCs w:val="20"/>
          <w:lang w:val="sl-SI"/>
        </w:rPr>
        <w:t>Agence nationale de la sécurité des systèmes d’information</w:t>
      </w:r>
      <w:r w:rsidRPr="006D1761">
        <w:rPr>
          <w:rFonts w:cs="Arial"/>
          <w:bCs/>
          <w:szCs w:val="20"/>
          <w:lang w:val="sl-SI"/>
        </w:rPr>
        <w:t xml:space="preserve"> </w:t>
      </w:r>
      <w:r w:rsidR="007E354F" w:rsidRPr="006D1761">
        <w:rPr>
          <w:rFonts w:cs="Arial"/>
          <w:bCs/>
          <w:szCs w:val="20"/>
          <w:lang w:val="sl-SI"/>
        </w:rPr>
        <w:t xml:space="preserve">– </w:t>
      </w:r>
      <w:r w:rsidRPr="006D1761">
        <w:rPr>
          <w:rFonts w:cs="Arial"/>
          <w:bCs/>
          <w:szCs w:val="20"/>
          <w:lang w:val="sl-SI"/>
        </w:rPr>
        <w:t xml:space="preserve">ANSSI) je bila ustanovljena z odlokom št. 2009-834 z dne 7. julija 2009 kot nacionalni organ. Kot pristojni nacionalni organ za kibernetsko obrambo ter varnost omrežij in informacij v skladu z direktivo (NIS) ANSSI nudi strokovno znanje in pomoč državnim organom in izvajalcem bistvenih storitev. Skrbi za promocijo francoskih tehnologij, sistemov in znanja. Ima vlogo pri gradnji zaupanja v digitalnem okolju. V skladu s cilji </w:t>
      </w:r>
      <w:r w:rsidR="007E354F" w:rsidRPr="006D1761">
        <w:rPr>
          <w:rFonts w:cs="Arial"/>
          <w:bCs/>
          <w:szCs w:val="20"/>
          <w:lang w:val="sl-SI"/>
        </w:rPr>
        <w:t xml:space="preserve">iz </w:t>
      </w:r>
      <w:r w:rsidRPr="006D1761">
        <w:rPr>
          <w:rFonts w:cs="Arial"/>
          <w:bCs/>
          <w:szCs w:val="20"/>
          <w:lang w:val="sl-SI"/>
        </w:rPr>
        <w:t xml:space="preserve">Bele knjige o obrambi in nacionalni varnosti iz leta 2013 ima ANSSI vlogo pri usmerjanju francoskih in evropskih raziskav kibernetske varnosti. ANSSI se po potrebi opira na strokovno znanje strateškega odbora, sestavljenega iz visokih državnih uradnikov. </w:t>
      </w:r>
    </w:p>
    <w:p w14:paraId="6AD63A2E" w14:textId="77777777" w:rsidR="00434719" w:rsidRPr="006D1761" w:rsidRDefault="00434719" w:rsidP="00A23D5D">
      <w:pPr>
        <w:spacing w:line="276" w:lineRule="auto"/>
        <w:jc w:val="both"/>
        <w:rPr>
          <w:rFonts w:cs="Arial"/>
          <w:bCs/>
          <w:szCs w:val="20"/>
          <w:lang w:val="sl-SI"/>
        </w:rPr>
      </w:pPr>
    </w:p>
    <w:p w14:paraId="70C1C102" w14:textId="6C90B393" w:rsidR="004C0F42" w:rsidRDefault="004C0F42" w:rsidP="004C0F42">
      <w:pPr>
        <w:spacing w:line="276" w:lineRule="auto"/>
        <w:jc w:val="both"/>
        <w:rPr>
          <w:rFonts w:cs="Arial"/>
          <w:bCs/>
          <w:szCs w:val="20"/>
          <w:lang w:val="sl-SI"/>
        </w:rPr>
      </w:pPr>
      <w:r w:rsidRPr="006D1761">
        <w:rPr>
          <w:rFonts w:cs="Arial"/>
          <w:bCs/>
          <w:szCs w:val="20"/>
          <w:lang w:val="sl-SI"/>
        </w:rPr>
        <w:t xml:space="preserve">Zakon št. 2018-133 z dne 26. februarja 2018 o različnih določbah za prilagoditev pravu Evropske unije na področju varnosti v določbi 8. člena določa, da </w:t>
      </w:r>
      <w:r w:rsidR="007E354F" w:rsidRPr="006D1761">
        <w:rPr>
          <w:rFonts w:cs="Arial"/>
          <w:bCs/>
          <w:szCs w:val="20"/>
          <w:lang w:val="sl-SI"/>
        </w:rPr>
        <w:t>p</w:t>
      </w:r>
      <w:r w:rsidRPr="006D1761">
        <w:rPr>
          <w:rFonts w:cs="Arial"/>
          <w:bCs/>
          <w:szCs w:val="20"/>
          <w:lang w:val="sl-SI"/>
        </w:rPr>
        <w:t xml:space="preserve">redsednik vlade lahko operaterje, javne ali zasebne, ki ponujajo storitve, ki so bistvenega pomena za delovanje družbe ali gospodarstva in katerih </w:t>
      </w:r>
      <w:r w:rsidR="007E354F" w:rsidRPr="006D1761">
        <w:rPr>
          <w:rFonts w:cs="Arial"/>
          <w:bCs/>
          <w:szCs w:val="20"/>
          <w:lang w:val="sl-SI"/>
        </w:rPr>
        <w:t>nepretrgano delovanje</w:t>
      </w:r>
      <w:r w:rsidRPr="006D1761">
        <w:rPr>
          <w:rFonts w:cs="Arial"/>
          <w:bCs/>
          <w:szCs w:val="20"/>
          <w:lang w:val="sl-SI"/>
        </w:rPr>
        <w:t xml:space="preserve"> bi lahko resno ogrozili incidenti, ki vplivajo na omrežja in informacijske sisteme, potrebne za zagotavljanje navedenih storitev, podvrže pregledom, namenjenim preverjanju izpolnjevanja obveznosti iz poglavja v zvezi z varnostjo omrežij in informacijskih sistemov operaterjev bistvenih storitev ter </w:t>
      </w:r>
      <w:r w:rsidR="00AF7AD1" w:rsidRPr="006D1761">
        <w:rPr>
          <w:rFonts w:cs="Arial"/>
          <w:bCs/>
          <w:szCs w:val="20"/>
          <w:lang w:val="sl-SI"/>
        </w:rPr>
        <w:t xml:space="preserve">z </w:t>
      </w:r>
      <w:r w:rsidRPr="006D1761">
        <w:rPr>
          <w:rFonts w:cs="Arial"/>
          <w:bCs/>
          <w:szCs w:val="20"/>
          <w:lang w:val="sl-SI"/>
        </w:rPr>
        <w:t>ravn</w:t>
      </w:r>
      <w:r w:rsidR="00AF7AD1" w:rsidRPr="006D1761">
        <w:rPr>
          <w:rFonts w:cs="Arial"/>
          <w:bCs/>
          <w:szCs w:val="20"/>
          <w:lang w:val="sl-SI"/>
        </w:rPr>
        <w:t>jo</w:t>
      </w:r>
      <w:r w:rsidRPr="006D1761">
        <w:rPr>
          <w:rFonts w:cs="Arial"/>
          <w:bCs/>
          <w:szCs w:val="20"/>
          <w:lang w:val="sl-SI"/>
        </w:rPr>
        <w:t xml:space="preserve"> varnosti omrežij in informacijskih sistemov, potrebnih za zagotavljanje bistvenih storitev. Preglede dokumentov in na kraju samem izvaja nacionalni organ za varnost informacijskih sistemov, </w:t>
      </w:r>
      <w:r w:rsidR="007E354F" w:rsidRPr="006D1761">
        <w:rPr>
          <w:rFonts w:cs="Arial"/>
          <w:bCs/>
          <w:szCs w:val="20"/>
          <w:lang w:val="sl-SI"/>
        </w:rPr>
        <w:t>naved</w:t>
      </w:r>
      <w:r w:rsidRPr="006D1761">
        <w:rPr>
          <w:rFonts w:cs="Arial"/>
          <w:bCs/>
          <w:szCs w:val="20"/>
          <w:lang w:val="sl-SI"/>
        </w:rPr>
        <w:t xml:space="preserve">en v členu L. 2321-1 obrambnega zakonika, ali ponudniki storitev, ki jih pooblasti predsednik vlade. Stroške kontrol </w:t>
      </w:r>
      <w:r w:rsidR="00AF7AD1" w:rsidRPr="006D1761">
        <w:rPr>
          <w:rFonts w:cs="Arial"/>
          <w:bCs/>
          <w:szCs w:val="20"/>
          <w:lang w:val="sl-SI"/>
        </w:rPr>
        <w:t>poravna</w:t>
      </w:r>
      <w:r w:rsidRPr="006D1761">
        <w:rPr>
          <w:rFonts w:cs="Arial"/>
          <w:bCs/>
          <w:szCs w:val="20"/>
          <w:lang w:val="sl-SI"/>
        </w:rPr>
        <w:t xml:space="preserve">jo operaterji. Člen L. 2321-2-1 obrambnega zakonika pooblašča ANSSI, da za namene </w:t>
      </w:r>
      <w:r w:rsidRPr="006D1761">
        <w:rPr>
          <w:rFonts w:cs="Arial"/>
          <w:bCs/>
          <w:szCs w:val="20"/>
          <w:lang w:val="sl-SI"/>
        </w:rPr>
        <w:lastRenderedPageBreak/>
        <w:t>opredelitve groženj uporabi napravo za zaznavanje v omrežju operaterja elektronskih komunikacij ali na informacijah ponudnika dostopa ali gostitelja.</w:t>
      </w:r>
    </w:p>
    <w:p w14:paraId="08F53BF4" w14:textId="77777777" w:rsidR="00B2337A" w:rsidRPr="006D1761" w:rsidRDefault="00B2337A" w:rsidP="004C0F42">
      <w:pPr>
        <w:spacing w:line="276" w:lineRule="auto"/>
        <w:jc w:val="both"/>
        <w:rPr>
          <w:rFonts w:cs="Arial"/>
          <w:bCs/>
          <w:szCs w:val="20"/>
          <w:lang w:val="sl-SI"/>
        </w:rPr>
      </w:pPr>
    </w:p>
    <w:p w14:paraId="57290497" w14:textId="21CFF357" w:rsidR="004C0F42" w:rsidRPr="006D1761" w:rsidRDefault="004C0F42" w:rsidP="004C0F42">
      <w:pPr>
        <w:spacing w:line="276" w:lineRule="auto"/>
        <w:jc w:val="both"/>
        <w:rPr>
          <w:rFonts w:cs="Arial"/>
          <w:bCs/>
          <w:szCs w:val="20"/>
          <w:lang w:val="sl-SI"/>
        </w:rPr>
      </w:pPr>
      <w:r w:rsidRPr="006D1761">
        <w:rPr>
          <w:rFonts w:cs="Arial"/>
          <w:bCs/>
          <w:szCs w:val="20"/>
          <w:lang w:val="sl-SI"/>
        </w:rPr>
        <w:t xml:space="preserve">Odlok št. 2018-384 z dne 23. maja 2018 o varnosti omrežij in informacijskih sistemov operaterjev bistvenih storitev in ponudnikov digitalnih storitev v določbi 13. člena določa, da </w:t>
      </w:r>
      <w:r w:rsidR="007E354F" w:rsidRPr="006D1761">
        <w:rPr>
          <w:rFonts w:cs="Arial"/>
          <w:bCs/>
          <w:szCs w:val="20"/>
          <w:lang w:val="sl-SI"/>
        </w:rPr>
        <w:t>p</w:t>
      </w:r>
      <w:r w:rsidRPr="006D1761">
        <w:rPr>
          <w:rFonts w:cs="Arial"/>
          <w:bCs/>
          <w:szCs w:val="20"/>
          <w:lang w:val="sl-SI"/>
        </w:rPr>
        <w:t xml:space="preserve">redsednik vlade po posvetovanju z zadevnimi ministri obvesti izvajalce bistvenih storitev o svoji odločitvi o uvedbi nadzora iz 8. člena </w:t>
      </w:r>
      <w:r w:rsidR="007E354F" w:rsidRPr="006D1761">
        <w:rPr>
          <w:rFonts w:cs="Arial"/>
          <w:bCs/>
          <w:szCs w:val="20"/>
          <w:lang w:val="sl-SI"/>
        </w:rPr>
        <w:t>z</w:t>
      </w:r>
      <w:r w:rsidRPr="006D1761">
        <w:rPr>
          <w:rFonts w:cs="Arial"/>
          <w:bCs/>
          <w:szCs w:val="20"/>
          <w:lang w:val="sl-SI"/>
        </w:rPr>
        <w:t>akon</w:t>
      </w:r>
      <w:r w:rsidR="007E354F" w:rsidRPr="006D1761">
        <w:rPr>
          <w:rFonts w:cs="Arial"/>
          <w:bCs/>
          <w:szCs w:val="20"/>
          <w:lang w:val="sl-SI"/>
        </w:rPr>
        <w:t>a</w:t>
      </w:r>
      <w:r w:rsidRPr="006D1761">
        <w:rPr>
          <w:rFonts w:cs="Arial"/>
          <w:bCs/>
          <w:szCs w:val="20"/>
          <w:lang w:val="sl-SI"/>
        </w:rPr>
        <w:t xml:space="preserve"> št. 2018-133 z dne 26. februarja 2018 o različnih določbah za prilagoditev pravu Evropske unije na področju varnosti. </w:t>
      </w:r>
      <w:r w:rsidR="007E354F" w:rsidRPr="006D1761">
        <w:rPr>
          <w:rFonts w:cs="Arial"/>
          <w:bCs/>
          <w:szCs w:val="20"/>
          <w:lang w:val="sl-SI"/>
        </w:rPr>
        <w:t>Navedeni zakon d</w:t>
      </w:r>
      <w:r w:rsidRPr="006D1761">
        <w:rPr>
          <w:rFonts w:cs="Arial"/>
          <w:bCs/>
          <w:szCs w:val="20"/>
          <w:lang w:val="sl-SI"/>
        </w:rPr>
        <w:t xml:space="preserve">oloča cilje in obseg nadzora ter rok, v katerem se nadzor izvede. </w:t>
      </w:r>
      <w:r w:rsidR="007E354F" w:rsidRPr="006D1761">
        <w:rPr>
          <w:rFonts w:cs="Arial"/>
          <w:bCs/>
          <w:szCs w:val="20"/>
          <w:lang w:val="sl-SI"/>
        </w:rPr>
        <w:t>V zakonu je tudi navedeno</w:t>
      </w:r>
      <w:r w:rsidRPr="006D1761">
        <w:rPr>
          <w:rFonts w:cs="Arial"/>
          <w:bCs/>
          <w:szCs w:val="20"/>
          <w:lang w:val="sl-SI"/>
        </w:rPr>
        <w:t xml:space="preserve">, glede na naravo dejavnosti, ki se izvajajo, ali ta nadzor izvaja </w:t>
      </w:r>
      <w:r w:rsidR="007E354F" w:rsidRPr="006D1761">
        <w:rPr>
          <w:rFonts w:cs="Arial"/>
          <w:bCs/>
          <w:szCs w:val="20"/>
          <w:lang w:val="sl-SI"/>
        </w:rPr>
        <w:t>n</w:t>
      </w:r>
      <w:r w:rsidRPr="006D1761">
        <w:rPr>
          <w:rFonts w:cs="Arial"/>
          <w:bCs/>
          <w:szCs w:val="20"/>
          <w:lang w:val="sl-SI"/>
        </w:rPr>
        <w:t xml:space="preserve">acionalna agencija za varnost informacijskih sistemov ali usposobljeni ponudnik storitev. V </w:t>
      </w:r>
      <w:r w:rsidR="007E354F" w:rsidRPr="006D1761">
        <w:rPr>
          <w:rFonts w:cs="Arial"/>
          <w:bCs/>
          <w:szCs w:val="20"/>
          <w:lang w:val="sl-SI"/>
        </w:rPr>
        <w:t>drug</w:t>
      </w:r>
      <w:r w:rsidRPr="006D1761">
        <w:rPr>
          <w:rFonts w:cs="Arial"/>
          <w:bCs/>
          <w:szCs w:val="20"/>
          <w:lang w:val="sl-SI"/>
        </w:rPr>
        <w:t>em primeru operater izbere ponudnika storitve s seznama, ki mu ga po</w:t>
      </w:r>
      <w:r w:rsidR="007E354F" w:rsidRPr="006D1761">
        <w:rPr>
          <w:rFonts w:cs="Arial"/>
          <w:bCs/>
          <w:szCs w:val="20"/>
          <w:lang w:val="sl-SI"/>
        </w:rPr>
        <w:t>šl</w:t>
      </w:r>
      <w:r w:rsidRPr="006D1761">
        <w:rPr>
          <w:rFonts w:cs="Arial"/>
          <w:bCs/>
          <w:szCs w:val="20"/>
          <w:lang w:val="sl-SI"/>
        </w:rPr>
        <w:t xml:space="preserve">je, in o tem takoj obvesti </w:t>
      </w:r>
      <w:r w:rsidR="007E354F" w:rsidRPr="006D1761">
        <w:rPr>
          <w:rFonts w:cs="Arial"/>
          <w:bCs/>
          <w:szCs w:val="20"/>
          <w:lang w:val="sl-SI"/>
        </w:rPr>
        <w:t>n</w:t>
      </w:r>
      <w:r w:rsidRPr="006D1761">
        <w:rPr>
          <w:rFonts w:cs="Arial"/>
          <w:bCs/>
          <w:szCs w:val="20"/>
          <w:lang w:val="sl-SI"/>
        </w:rPr>
        <w:t>acionalno agencijo za varnost informacijskih sistemov.</w:t>
      </w:r>
    </w:p>
    <w:bookmarkEnd w:id="9"/>
    <w:p w14:paraId="54E3E048" w14:textId="16501083" w:rsidR="00A23D5D" w:rsidRDefault="00A23D5D" w:rsidP="00A23D5D">
      <w:pPr>
        <w:spacing w:line="276" w:lineRule="auto"/>
        <w:jc w:val="both"/>
        <w:rPr>
          <w:rFonts w:cs="Arial"/>
          <w:bCs/>
          <w:szCs w:val="20"/>
          <w:highlight w:val="yellow"/>
          <w:lang w:val="sl-SI"/>
        </w:rPr>
      </w:pPr>
    </w:p>
    <w:p w14:paraId="5D833579" w14:textId="24861C57" w:rsidR="0068671F" w:rsidRDefault="0068671F" w:rsidP="00A23D5D">
      <w:pPr>
        <w:spacing w:line="276" w:lineRule="auto"/>
        <w:jc w:val="both"/>
        <w:rPr>
          <w:rFonts w:cs="Arial"/>
          <w:bCs/>
          <w:szCs w:val="20"/>
          <w:highlight w:val="yellow"/>
          <w:lang w:val="sl-SI"/>
        </w:rPr>
      </w:pPr>
      <w:r>
        <w:rPr>
          <w:rFonts w:cs="Arial"/>
          <w:bCs/>
          <w:szCs w:val="20"/>
          <w:lang w:val="sl-SI"/>
        </w:rPr>
        <w:t xml:space="preserve">Ocenjujejo, da bo implementacija </w:t>
      </w:r>
      <w:r w:rsidRPr="0068671F">
        <w:rPr>
          <w:rFonts w:cs="Arial"/>
          <w:bCs/>
          <w:szCs w:val="20"/>
          <w:lang w:val="sl-SI"/>
        </w:rPr>
        <w:t>Direktivo (EU) 2022/2555.</w:t>
      </w:r>
      <w:r>
        <w:rPr>
          <w:rFonts w:cs="Arial"/>
          <w:bCs/>
          <w:szCs w:val="20"/>
          <w:lang w:val="sl-SI"/>
        </w:rPr>
        <w:t xml:space="preserve"> vplivala na </w:t>
      </w:r>
      <w:r w:rsidRPr="0068671F">
        <w:rPr>
          <w:rFonts w:cs="Arial"/>
          <w:bCs/>
          <w:szCs w:val="20"/>
          <w:lang w:val="sl-SI"/>
        </w:rPr>
        <w:t xml:space="preserve">tisoče subjektov v več kot osemnajstih panogah, ki bodo </w:t>
      </w:r>
      <w:r>
        <w:rPr>
          <w:rFonts w:cs="Arial"/>
          <w:bCs/>
          <w:szCs w:val="20"/>
          <w:lang w:val="sl-SI"/>
        </w:rPr>
        <w:t>sedaj</w:t>
      </w:r>
      <w:r w:rsidRPr="0068671F">
        <w:rPr>
          <w:rFonts w:cs="Arial"/>
          <w:bCs/>
          <w:szCs w:val="20"/>
          <w:lang w:val="sl-SI"/>
        </w:rPr>
        <w:t xml:space="preserve"> regulirane. Kot nacionalni organ na področju digitalne varnosti </w:t>
      </w:r>
      <w:r>
        <w:rPr>
          <w:rFonts w:cs="Arial"/>
          <w:bCs/>
          <w:szCs w:val="20"/>
          <w:lang w:val="sl-SI"/>
        </w:rPr>
        <w:t>bo</w:t>
      </w:r>
      <w:r w:rsidRPr="0068671F">
        <w:rPr>
          <w:rFonts w:cs="Arial"/>
          <w:bCs/>
          <w:szCs w:val="20"/>
          <w:lang w:val="sl-SI"/>
        </w:rPr>
        <w:t xml:space="preserve"> ANSSI </w:t>
      </w:r>
      <w:r>
        <w:rPr>
          <w:rFonts w:cs="Arial"/>
          <w:bCs/>
          <w:szCs w:val="20"/>
          <w:lang w:val="sl-SI"/>
        </w:rPr>
        <w:t xml:space="preserve">še </w:t>
      </w:r>
      <w:r w:rsidRPr="0068671F">
        <w:rPr>
          <w:rFonts w:cs="Arial"/>
          <w:bCs/>
          <w:szCs w:val="20"/>
          <w:lang w:val="sl-SI"/>
        </w:rPr>
        <w:t>vedno skrbel za izvajanje podpornih programov za organizacije, prilagojenih njihovemu profilu. Izvaja</w:t>
      </w:r>
      <w:r>
        <w:rPr>
          <w:rFonts w:cs="Arial"/>
          <w:bCs/>
          <w:szCs w:val="20"/>
          <w:lang w:val="sl-SI"/>
        </w:rPr>
        <w:t>l bo</w:t>
      </w:r>
      <w:r w:rsidRPr="0068671F">
        <w:rPr>
          <w:rFonts w:cs="Arial"/>
          <w:bCs/>
          <w:szCs w:val="20"/>
          <w:lang w:val="sl-SI"/>
        </w:rPr>
        <w:t xml:space="preserve"> vsakodnevno svetovanje, izmenjavo strokovnega znanja in operativn</w:t>
      </w:r>
      <w:r>
        <w:rPr>
          <w:rFonts w:cs="Arial"/>
          <w:bCs/>
          <w:szCs w:val="20"/>
          <w:lang w:val="sl-SI"/>
        </w:rPr>
        <w:t>e</w:t>
      </w:r>
      <w:r w:rsidRPr="0068671F">
        <w:rPr>
          <w:rFonts w:cs="Arial"/>
          <w:bCs/>
          <w:szCs w:val="20"/>
          <w:lang w:val="sl-SI"/>
        </w:rPr>
        <w:t xml:space="preserve"> pomoč</w:t>
      </w:r>
      <w:r>
        <w:rPr>
          <w:rFonts w:cs="Arial"/>
          <w:bCs/>
          <w:szCs w:val="20"/>
          <w:lang w:val="sl-SI"/>
        </w:rPr>
        <w:t>i</w:t>
      </w:r>
      <w:r w:rsidRPr="0068671F">
        <w:rPr>
          <w:rFonts w:cs="Arial"/>
          <w:bCs/>
          <w:szCs w:val="20"/>
          <w:lang w:val="sl-SI"/>
        </w:rPr>
        <w:t>, hkrati pa spodbuja</w:t>
      </w:r>
      <w:r>
        <w:rPr>
          <w:rFonts w:cs="Arial"/>
          <w:bCs/>
          <w:szCs w:val="20"/>
          <w:lang w:val="sl-SI"/>
        </w:rPr>
        <w:t>l</w:t>
      </w:r>
      <w:r w:rsidRPr="0068671F">
        <w:rPr>
          <w:rFonts w:cs="Arial"/>
          <w:bCs/>
          <w:szCs w:val="20"/>
          <w:lang w:val="sl-SI"/>
        </w:rPr>
        <w:t xml:space="preserve"> razvoj varnostnih izdelkov in storitev zaupanja. </w:t>
      </w:r>
      <w:r>
        <w:rPr>
          <w:rFonts w:cs="Arial"/>
          <w:bCs/>
          <w:szCs w:val="20"/>
          <w:lang w:val="sl-SI"/>
        </w:rPr>
        <w:t>Ohranili bodo glavni c</w:t>
      </w:r>
      <w:r w:rsidRPr="0068671F">
        <w:rPr>
          <w:rFonts w:cs="Arial"/>
          <w:bCs/>
          <w:szCs w:val="20"/>
          <w:lang w:val="sl-SI"/>
        </w:rPr>
        <w:t xml:space="preserve">ilj </w:t>
      </w:r>
      <w:r>
        <w:rPr>
          <w:rFonts w:cs="Arial"/>
          <w:bCs/>
          <w:szCs w:val="20"/>
          <w:lang w:val="sl-SI"/>
        </w:rPr>
        <w:t xml:space="preserve">- </w:t>
      </w:r>
      <w:r w:rsidRPr="0068671F">
        <w:rPr>
          <w:rFonts w:cs="Arial"/>
          <w:bCs/>
          <w:szCs w:val="20"/>
          <w:lang w:val="sl-SI"/>
        </w:rPr>
        <w:t xml:space="preserve">dvigniti splošno raven digitalne varnosti v Franciji, tako da se </w:t>
      </w:r>
      <w:r>
        <w:rPr>
          <w:rFonts w:cs="Arial"/>
          <w:bCs/>
          <w:szCs w:val="20"/>
          <w:lang w:val="sl-SI"/>
        </w:rPr>
        <w:t xml:space="preserve">zavezanim subjektom </w:t>
      </w:r>
      <w:r w:rsidRPr="0068671F">
        <w:rPr>
          <w:rFonts w:cs="Arial"/>
          <w:bCs/>
          <w:szCs w:val="20"/>
          <w:lang w:val="sl-SI"/>
        </w:rPr>
        <w:t>omogoči, da se bolje zaščitijo pred grožnj</w:t>
      </w:r>
      <w:r>
        <w:rPr>
          <w:rFonts w:cs="Arial"/>
          <w:bCs/>
          <w:szCs w:val="20"/>
          <w:lang w:val="sl-SI"/>
        </w:rPr>
        <w:t>ami</w:t>
      </w:r>
    </w:p>
    <w:p w14:paraId="661E9566" w14:textId="77777777" w:rsidR="0068671F" w:rsidRDefault="0068671F" w:rsidP="00A23D5D">
      <w:pPr>
        <w:spacing w:line="276" w:lineRule="auto"/>
        <w:jc w:val="both"/>
        <w:rPr>
          <w:rFonts w:cs="Arial"/>
          <w:bCs/>
          <w:szCs w:val="20"/>
          <w:highlight w:val="yellow"/>
          <w:lang w:val="sl-SI"/>
        </w:rPr>
      </w:pPr>
    </w:p>
    <w:p w14:paraId="04A18F84" w14:textId="29716DE7" w:rsidR="0085173A" w:rsidRPr="006D1761" w:rsidRDefault="0085173A" w:rsidP="0085173A">
      <w:pPr>
        <w:spacing w:after="240" w:line="300" w:lineRule="atLeast"/>
        <w:jc w:val="both"/>
        <w:rPr>
          <w:rFonts w:cs="Arial"/>
          <w:szCs w:val="20"/>
          <w:lang w:val="sl-SI"/>
        </w:rPr>
      </w:pPr>
      <w:r w:rsidRPr="006D1761">
        <w:rPr>
          <w:rFonts w:cs="Arial"/>
          <w:szCs w:val="20"/>
          <w:lang w:val="sl-SI"/>
        </w:rPr>
        <w:t xml:space="preserve">Izjava o skladnosti predloga zakona s pravnimi akti EU in korelacijska tabela pri prenosu direktive </w:t>
      </w:r>
      <w:r w:rsidR="00192D96">
        <w:rPr>
          <w:rFonts w:cs="Arial"/>
          <w:szCs w:val="20"/>
          <w:lang w:val="sl-SI"/>
        </w:rPr>
        <w:t>bo</w:t>
      </w:r>
      <w:r w:rsidRPr="006D1761">
        <w:rPr>
          <w:rFonts w:cs="Arial"/>
          <w:szCs w:val="20"/>
          <w:lang w:val="sl-SI"/>
        </w:rPr>
        <w:t xml:space="preserve">sta priloženi. </w:t>
      </w:r>
    </w:p>
    <w:p w14:paraId="18962332" w14:textId="77777777" w:rsidR="004C0F42" w:rsidRPr="006D1761" w:rsidRDefault="004C0F42" w:rsidP="00A23D5D">
      <w:pPr>
        <w:spacing w:line="276" w:lineRule="auto"/>
        <w:jc w:val="both"/>
        <w:rPr>
          <w:rFonts w:cs="Arial"/>
          <w:bCs/>
          <w:szCs w:val="20"/>
          <w:highlight w:val="yellow"/>
          <w:lang w:val="sl-SI"/>
        </w:rPr>
      </w:pPr>
    </w:p>
    <w:p w14:paraId="4520080B" w14:textId="77777777" w:rsidR="00A23D5D" w:rsidRPr="006D1761" w:rsidRDefault="00A23D5D" w:rsidP="00A23D5D">
      <w:pPr>
        <w:suppressAutoHyphens/>
        <w:overflowPunct w:val="0"/>
        <w:autoSpaceDE w:val="0"/>
        <w:autoSpaceDN w:val="0"/>
        <w:adjustRightInd w:val="0"/>
        <w:spacing w:line="276" w:lineRule="auto"/>
        <w:textAlignment w:val="baseline"/>
        <w:outlineLvl w:val="3"/>
        <w:rPr>
          <w:rFonts w:cs="Arial"/>
          <w:b/>
          <w:szCs w:val="20"/>
          <w:lang w:val="sl-SI"/>
        </w:rPr>
      </w:pPr>
      <w:r w:rsidRPr="006D1761">
        <w:rPr>
          <w:rFonts w:cs="Arial"/>
          <w:b/>
          <w:szCs w:val="20"/>
          <w:lang w:val="sl-SI"/>
        </w:rPr>
        <w:t>6. PRESOJA POSLEDIC, KI JIH BO IMEL SPREJEM ZAKONA</w:t>
      </w:r>
    </w:p>
    <w:p w14:paraId="78E15852" w14:textId="77777777" w:rsidR="00A23D5D" w:rsidRPr="006D1761" w:rsidRDefault="00A23D5D" w:rsidP="00A2556F">
      <w:pPr>
        <w:suppressAutoHyphens/>
        <w:overflowPunct w:val="0"/>
        <w:autoSpaceDE w:val="0"/>
        <w:autoSpaceDN w:val="0"/>
        <w:adjustRightInd w:val="0"/>
        <w:spacing w:line="276" w:lineRule="auto"/>
        <w:textAlignment w:val="baseline"/>
        <w:outlineLvl w:val="3"/>
        <w:rPr>
          <w:rFonts w:cs="Arial"/>
          <w:b/>
          <w:szCs w:val="20"/>
          <w:lang w:val="sl-SI"/>
        </w:rPr>
      </w:pPr>
    </w:p>
    <w:p w14:paraId="7806492E" w14:textId="12CF96C4" w:rsidR="00A23D5D" w:rsidRPr="006D1761" w:rsidRDefault="00A23D5D" w:rsidP="00A2556F">
      <w:pPr>
        <w:suppressAutoHyphens/>
        <w:overflowPunct w:val="0"/>
        <w:autoSpaceDE w:val="0"/>
        <w:autoSpaceDN w:val="0"/>
        <w:adjustRightInd w:val="0"/>
        <w:spacing w:line="276" w:lineRule="auto"/>
        <w:textAlignment w:val="baseline"/>
        <w:outlineLvl w:val="3"/>
        <w:rPr>
          <w:rFonts w:cs="Arial"/>
          <w:b/>
          <w:szCs w:val="20"/>
          <w:lang w:val="sl-SI"/>
        </w:rPr>
      </w:pPr>
      <w:r w:rsidRPr="006D1761">
        <w:rPr>
          <w:rFonts w:cs="Arial"/>
          <w:b/>
          <w:szCs w:val="20"/>
          <w:lang w:val="sl-SI"/>
        </w:rPr>
        <w:t>6.1 Presoja administrativnih posledic:</w:t>
      </w:r>
    </w:p>
    <w:p w14:paraId="2432729B" w14:textId="77777777" w:rsidR="00A23D5D" w:rsidRPr="006D1761" w:rsidRDefault="00A23D5D" w:rsidP="00A2556F">
      <w:pPr>
        <w:suppressAutoHyphens/>
        <w:overflowPunct w:val="0"/>
        <w:autoSpaceDE w:val="0"/>
        <w:autoSpaceDN w:val="0"/>
        <w:adjustRightInd w:val="0"/>
        <w:spacing w:line="276" w:lineRule="auto"/>
        <w:textAlignment w:val="baseline"/>
        <w:outlineLvl w:val="3"/>
        <w:rPr>
          <w:rFonts w:cs="Arial"/>
          <w:b/>
          <w:szCs w:val="20"/>
          <w:lang w:val="sl-SI"/>
        </w:rPr>
      </w:pPr>
    </w:p>
    <w:p w14:paraId="3E6378C1" w14:textId="77777777" w:rsidR="00A23D5D" w:rsidRPr="006D1761" w:rsidRDefault="00A23D5D" w:rsidP="00A2556F">
      <w:pPr>
        <w:suppressAutoHyphens/>
        <w:overflowPunct w:val="0"/>
        <w:autoSpaceDE w:val="0"/>
        <w:autoSpaceDN w:val="0"/>
        <w:adjustRightInd w:val="0"/>
        <w:spacing w:line="276" w:lineRule="auto"/>
        <w:textAlignment w:val="baseline"/>
        <w:outlineLvl w:val="3"/>
        <w:rPr>
          <w:rFonts w:cs="Arial"/>
          <w:b/>
          <w:szCs w:val="20"/>
          <w:lang w:val="sl-SI"/>
        </w:rPr>
      </w:pPr>
      <w:r w:rsidRPr="006D1761">
        <w:rPr>
          <w:rFonts w:cs="Arial"/>
          <w:b/>
          <w:szCs w:val="20"/>
          <w:lang w:val="sl-SI"/>
        </w:rPr>
        <w:t xml:space="preserve">a) V postopkih oziroma poslovanju javne uprave ali pravosodnih organov: </w:t>
      </w:r>
    </w:p>
    <w:p w14:paraId="6071C151" w14:textId="77777777" w:rsidR="0085173A" w:rsidRPr="006D1761" w:rsidRDefault="0085173A" w:rsidP="00A2556F">
      <w:pPr>
        <w:spacing w:line="276" w:lineRule="auto"/>
        <w:jc w:val="both"/>
        <w:rPr>
          <w:rFonts w:eastAsia="Calibri" w:cs="Arial"/>
          <w:color w:val="000000"/>
          <w:szCs w:val="20"/>
          <w:lang w:val="sl-SI"/>
        </w:rPr>
      </w:pPr>
    </w:p>
    <w:p w14:paraId="1766CED1" w14:textId="28B1165D" w:rsidR="00CC4CA8" w:rsidRPr="00CC4CA8" w:rsidRDefault="00A2556F" w:rsidP="00A2556F">
      <w:pPr>
        <w:spacing w:line="276" w:lineRule="auto"/>
        <w:jc w:val="both"/>
        <w:rPr>
          <w:rFonts w:eastAsia="Calibri" w:cs="Arial"/>
          <w:color w:val="000000"/>
          <w:szCs w:val="20"/>
          <w:lang w:val="sl-SI"/>
        </w:rPr>
      </w:pPr>
      <w:r w:rsidRPr="00CC4CA8">
        <w:rPr>
          <w:rFonts w:eastAsia="Calibri" w:cs="Arial"/>
          <w:color w:val="000000"/>
          <w:szCs w:val="20"/>
          <w:lang w:val="sl-SI"/>
        </w:rPr>
        <w:t>P</w:t>
      </w:r>
      <w:r w:rsidR="0085173A" w:rsidRPr="00CC4CA8">
        <w:rPr>
          <w:rFonts w:eastAsia="Calibri" w:cs="Arial"/>
          <w:color w:val="000000"/>
          <w:szCs w:val="20"/>
          <w:lang w:val="sl-SI"/>
        </w:rPr>
        <w:t>ristojn</w:t>
      </w:r>
      <w:r w:rsidRPr="00CC4CA8">
        <w:rPr>
          <w:rFonts w:eastAsia="Calibri" w:cs="Arial"/>
          <w:color w:val="000000"/>
          <w:szCs w:val="20"/>
          <w:lang w:val="sl-SI"/>
        </w:rPr>
        <w:t>i</w:t>
      </w:r>
      <w:r w:rsidR="0085173A" w:rsidRPr="00CC4CA8">
        <w:rPr>
          <w:rFonts w:eastAsia="Calibri" w:cs="Arial"/>
          <w:color w:val="000000"/>
          <w:szCs w:val="20"/>
          <w:lang w:val="sl-SI"/>
        </w:rPr>
        <w:t xml:space="preserve"> nacionaln</w:t>
      </w:r>
      <w:r w:rsidRPr="00CC4CA8">
        <w:rPr>
          <w:rFonts w:eastAsia="Calibri" w:cs="Arial"/>
          <w:color w:val="000000"/>
          <w:szCs w:val="20"/>
          <w:lang w:val="sl-SI"/>
        </w:rPr>
        <w:t>i</w:t>
      </w:r>
      <w:r w:rsidR="0085173A" w:rsidRPr="00CC4CA8">
        <w:rPr>
          <w:rFonts w:eastAsia="Calibri" w:cs="Arial"/>
          <w:color w:val="000000"/>
          <w:szCs w:val="20"/>
          <w:lang w:val="sl-SI"/>
        </w:rPr>
        <w:t xml:space="preserve"> organ</w:t>
      </w:r>
      <w:r w:rsidRPr="00CC4CA8">
        <w:rPr>
          <w:rFonts w:eastAsia="Calibri" w:cs="Arial"/>
          <w:color w:val="000000"/>
          <w:szCs w:val="20"/>
          <w:lang w:val="sl-SI"/>
        </w:rPr>
        <w:t xml:space="preserve"> ohranja status samostojne vladne službe in nadgrajuje svoje </w:t>
      </w:r>
      <w:r w:rsidR="00CC4CA8" w:rsidRPr="00CC4CA8">
        <w:rPr>
          <w:rFonts w:eastAsia="Calibri" w:cs="Arial"/>
          <w:color w:val="000000"/>
          <w:szCs w:val="20"/>
          <w:lang w:val="sl-SI"/>
        </w:rPr>
        <w:t>pristojnosti</w:t>
      </w:r>
      <w:r w:rsidRPr="00CC4CA8">
        <w:rPr>
          <w:rFonts w:eastAsia="Calibri" w:cs="Arial"/>
          <w:color w:val="000000"/>
          <w:szCs w:val="20"/>
          <w:lang w:val="sl-SI"/>
        </w:rPr>
        <w:t xml:space="preserve"> z okrepljenim delovanjem na področju </w:t>
      </w:r>
      <w:r w:rsidR="00CC4CA8" w:rsidRPr="00CC4CA8">
        <w:rPr>
          <w:rFonts w:eastAsia="Calibri" w:cs="Arial"/>
          <w:color w:val="000000"/>
          <w:szCs w:val="20"/>
          <w:lang w:val="sl-SI"/>
        </w:rPr>
        <w:t>certificiranja</w:t>
      </w:r>
      <w:r w:rsidRPr="00CC4CA8">
        <w:rPr>
          <w:rFonts w:eastAsia="Calibri" w:cs="Arial"/>
          <w:color w:val="000000"/>
          <w:szCs w:val="20"/>
          <w:lang w:val="sl-SI"/>
        </w:rPr>
        <w:t xml:space="preserve"> kibernetske </w:t>
      </w:r>
      <w:r w:rsidR="00CC4CA8" w:rsidRPr="00CC4CA8">
        <w:rPr>
          <w:rFonts w:eastAsia="Calibri" w:cs="Arial"/>
          <w:color w:val="000000"/>
          <w:szCs w:val="20"/>
          <w:lang w:val="sl-SI"/>
        </w:rPr>
        <w:t>varnosti, enotne kontaktne točke in organa za obvladovanje kibernetskih kriz.</w:t>
      </w:r>
      <w:r w:rsidR="00CC4CA8">
        <w:rPr>
          <w:rFonts w:eastAsia="Calibri" w:cs="Arial"/>
          <w:color w:val="000000"/>
          <w:szCs w:val="20"/>
          <w:lang w:val="sl-SI"/>
        </w:rPr>
        <w:t xml:space="preserve"> Ohranja se ureditev, da sta notranji organizacijski enoti PNO skupina CSIRT državne uprave in Inšpekcija za informacijsko varnost.</w:t>
      </w:r>
    </w:p>
    <w:p w14:paraId="1EF86965" w14:textId="77777777" w:rsidR="00CC4CA8" w:rsidRDefault="00CC4CA8" w:rsidP="00A2556F">
      <w:pPr>
        <w:spacing w:line="276" w:lineRule="auto"/>
        <w:jc w:val="both"/>
        <w:rPr>
          <w:rFonts w:eastAsia="Calibri" w:cs="Arial"/>
          <w:color w:val="000000"/>
          <w:szCs w:val="20"/>
          <w:highlight w:val="yellow"/>
          <w:lang w:val="sl-SI"/>
        </w:rPr>
      </w:pPr>
    </w:p>
    <w:p w14:paraId="5E160266" w14:textId="57F25215" w:rsidR="0085173A" w:rsidRPr="006D1761" w:rsidRDefault="0085173A" w:rsidP="007C619B">
      <w:pPr>
        <w:spacing w:line="276" w:lineRule="auto"/>
        <w:jc w:val="both"/>
        <w:rPr>
          <w:rFonts w:eastAsia="Calibri" w:cs="Arial"/>
          <w:color w:val="000000"/>
          <w:szCs w:val="20"/>
          <w:highlight w:val="yellow"/>
          <w:lang w:val="sl-SI"/>
        </w:rPr>
      </w:pPr>
      <w:r w:rsidRPr="00F40754">
        <w:rPr>
          <w:rFonts w:eastAsia="Calibri" w:cs="Arial"/>
          <w:color w:val="000000"/>
          <w:szCs w:val="20"/>
          <w:lang w:val="sl-SI"/>
        </w:rPr>
        <w:t>Vlada RS</w:t>
      </w:r>
      <w:r w:rsidR="007C619B" w:rsidRPr="00F40754">
        <w:rPr>
          <w:lang w:val="sl-SI"/>
        </w:rPr>
        <w:t xml:space="preserve"> </w:t>
      </w:r>
      <w:r w:rsidR="007C619B" w:rsidRPr="007C619B">
        <w:rPr>
          <w:rFonts w:eastAsia="Calibri" w:cs="Arial"/>
          <w:color w:val="000000"/>
          <w:szCs w:val="20"/>
          <w:lang w:val="sl-SI"/>
        </w:rPr>
        <w:t xml:space="preserve">je sprejela Odlok o ustanovitvi, nalogah in organizaciji Urada Vlade Republike Slovenije za informacijsko </w:t>
      </w:r>
      <w:r w:rsidR="007C619B" w:rsidRPr="00DF0E87">
        <w:rPr>
          <w:rFonts w:eastAsia="Calibri" w:cs="Arial"/>
          <w:color w:val="000000"/>
          <w:szCs w:val="20"/>
          <w:lang w:val="sl-SI"/>
        </w:rPr>
        <w:t xml:space="preserve">varnost (Uradni list RS, št. 114/21 in 69/23) </w:t>
      </w:r>
      <w:r w:rsidRPr="00F40754">
        <w:rPr>
          <w:rFonts w:eastAsia="Calibri" w:cs="Arial"/>
          <w:color w:val="000000"/>
          <w:szCs w:val="20"/>
          <w:lang w:val="sl-SI"/>
        </w:rPr>
        <w:t xml:space="preserve"> </w:t>
      </w:r>
      <w:r w:rsidR="007C619B" w:rsidRPr="00F40754">
        <w:rPr>
          <w:rFonts w:eastAsia="Calibri" w:cs="Arial"/>
          <w:color w:val="000000"/>
          <w:szCs w:val="20"/>
          <w:lang w:val="sl-SI"/>
        </w:rPr>
        <w:t xml:space="preserve">s katerim je opredelila naloge pristojnega nacionalnega organa, ki je </w:t>
      </w:r>
      <w:r w:rsidR="007C619B" w:rsidRPr="00DF0E87">
        <w:rPr>
          <w:rFonts w:eastAsia="Calibri" w:cs="Arial"/>
          <w:color w:val="000000"/>
          <w:szCs w:val="20"/>
          <w:lang w:val="sl-SI"/>
        </w:rPr>
        <w:t>URSIV</w:t>
      </w:r>
      <w:r w:rsidR="007C619B" w:rsidRPr="00F40754">
        <w:rPr>
          <w:rFonts w:eastAsia="Calibri" w:cs="Arial"/>
          <w:color w:val="000000"/>
          <w:szCs w:val="20"/>
          <w:lang w:val="sl-SI"/>
        </w:rPr>
        <w:t>.</w:t>
      </w:r>
      <w:r w:rsidR="007C619B" w:rsidRPr="00DF0E87">
        <w:rPr>
          <w:rFonts w:eastAsia="Calibri" w:cs="Arial"/>
          <w:color w:val="000000"/>
          <w:szCs w:val="20"/>
          <w:lang w:val="sl-SI"/>
        </w:rPr>
        <w:t xml:space="preserve"> V </w:t>
      </w:r>
      <w:r w:rsidRPr="00F40754">
        <w:rPr>
          <w:rFonts w:eastAsia="Calibri" w:cs="Arial"/>
          <w:color w:val="000000"/>
          <w:szCs w:val="20"/>
          <w:lang w:val="sl-SI"/>
        </w:rPr>
        <w:t xml:space="preserve">okviru nacionalnega sistema informacijske varnosti </w:t>
      </w:r>
      <w:r w:rsidR="007C619B" w:rsidRPr="00F40754">
        <w:rPr>
          <w:rFonts w:eastAsia="Calibri" w:cs="Arial"/>
          <w:color w:val="000000"/>
          <w:szCs w:val="20"/>
          <w:lang w:val="sl-SI"/>
        </w:rPr>
        <w:t>je URSIV tako</w:t>
      </w:r>
      <w:r w:rsidRPr="00F40754">
        <w:rPr>
          <w:rFonts w:eastAsia="Calibri" w:cs="Arial"/>
          <w:color w:val="000000"/>
          <w:szCs w:val="20"/>
          <w:lang w:val="sl-SI"/>
        </w:rPr>
        <w:t xml:space="preserve"> pristojni organ na strateški ravni. Na operativni ravni sistema pa so zmogljivosti za odzivanje na incidente v kibernetskem prostoru porazdeljene med SI-CERT kot nacionalni odzivni center za omrežne incidente</w:t>
      </w:r>
      <w:r w:rsidR="007C619B" w:rsidRPr="00F40754">
        <w:rPr>
          <w:rFonts w:eastAsia="Calibri" w:cs="Arial"/>
          <w:color w:val="000000"/>
          <w:szCs w:val="20"/>
          <w:lang w:val="sl-SI"/>
        </w:rPr>
        <w:t xml:space="preserve"> in SIGOV-CERT</w:t>
      </w:r>
      <w:r w:rsidR="00DF0E87" w:rsidRPr="00F40754">
        <w:rPr>
          <w:rFonts w:eastAsia="Calibri" w:cs="Arial"/>
          <w:color w:val="000000"/>
          <w:szCs w:val="20"/>
          <w:lang w:val="sl-SI"/>
        </w:rPr>
        <w:t xml:space="preserve"> -</w:t>
      </w:r>
      <w:r w:rsidRPr="00F40754">
        <w:rPr>
          <w:rFonts w:eastAsia="Calibri" w:cs="Arial"/>
          <w:color w:val="000000"/>
          <w:szCs w:val="20"/>
          <w:lang w:val="sl-SI"/>
        </w:rPr>
        <w:t xml:space="preserve"> </w:t>
      </w:r>
      <w:r w:rsidR="00DF0E87" w:rsidRPr="00DF0E87">
        <w:rPr>
          <w:rFonts w:eastAsia="Calibri" w:cs="Arial"/>
          <w:color w:val="000000"/>
          <w:szCs w:val="20"/>
          <w:lang w:val="sl-SI"/>
        </w:rPr>
        <w:t xml:space="preserve">CSIRT organov državne uprave, ki je notranja organizacijska enota pristojnega nacionalnega organa, Ministrstvo za digitalno preobrazbo (MDP) pristojno za upravljanje informacijsko-komunikacijskih sistemov, </w:t>
      </w:r>
      <w:r w:rsidRPr="00F40754">
        <w:rPr>
          <w:rFonts w:eastAsia="Calibri" w:cs="Arial"/>
          <w:color w:val="000000"/>
          <w:szCs w:val="20"/>
          <w:lang w:val="sl-SI"/>
        </w:rPr>
        <w:t xml:space="preserve">Ministrstvo za obrambo (MO) za sisteme na področju obrambe in varstva pred naravnimi in drugimi nesrečami, Slovensko obveščevalno-varnostno agencijo (SOVA) na področju protiobveščevalnega delovanja ter Policijo, Urad za informatiko in telekomunikacije in Upravo kriminalistične policije, predvsem Center za računalniško preiskovanje z zmogljivostmi za zatiranje kibernetskega kriminala. Organi na obeh ravneh sistema so podhranjeni na kadrovskem, materialno-tehničnem in organizacijskem področju. </w:t>
      </w:r>
    </w:p>
    <w:p w14:paraId="6CF335F9" w14:textId="77777777" w:rsidR="006D1761" w:rsidRPr="006D1761" w:rsidRDefault="006D1761" w:rsidP="00A2556F">
      <w:pPr>
        <w:spacing w:line="276" w:lineRule="auto"/>
        <w:jc w:val="both"/>
        <w:rPr>
          <w:rFonts w:eastAsia="Calibri" w:cs="Arial"/>
          <w:color w:val="000000"/>
          <w:szCs w:val="20"/>
          <w:highlight w:val="yellow"/>
          <w:lang w:val="sl-SI"/>
        </w:rPr>
      </w:pPr>
    </w:p>
    <w:p w14:paraId="151BABFC" w14:textId="32590CF5" w:rsidR="00DF0E87" w:rsidRDefault="0085173A" w:rsidP="00415FF6">
      <w:pPr>
        <w:spacing w:line="276" w:lineRule="auto"/>
        <w:jc w:val="both"/>
        <w:rPr>
          <w:rFonts w:eastAsia="Calibri" w:cs="Arial"/>
          <w:color w:val="000000"/>
          <w:szCs w:val="20"/>
          <w:highlight w:val="yellow"/>
          <w:lang w:val="sl-SI"/>
        </w:rPr>
      </w:pPr>
      <w:r w:rsidRPr="00C11AB8">
        <w:rPr>
          <w:rFonts w:eastAsia="Calibri" w:cs="Arial"/>
          <w:color w:val="000000"/>
          <w:szCs w:val="20"/>
          <w:lang w:val="sl-SI"/>
        </w:rPr>
        <w:lastRenderedPageBreak/>
        <w:t xml:space="preserve">RS </w:t>
      </w:r>
      <w:r w:rsidR="00DF0E87" w:rsidRPr="00C11AB8">
        <w:rPr>
          <w:rFonts w:eastAsia="Calibri" w:cs="Arial"/>
          <w:color w:val="000000"/>
          <w:szCs w:val="20"/>
          <w:lang w:val="sl-SI"/>
        </w:rPr>
        <w:t xml:space="preserve">je </w:t>
      </w:r>
      <w:r w:rsidRPr="00C11AB8">
        <w:rPr>
          <w:rFonts w:eastAsia="Calibri" w:cs="Arial"/>
          <w:color w:val="000000"/>
          <w:szCs w:val="20"/>
          <w:lang w:val="sl-SI"/>
        </w:rPr>
        <w:t xml:space="preserve">do zdaj </w:t>
      </w:r>
      <w:r w:rsidR="00DF0E87" w:rsidRPr="00C11AB8">
        <w:rPr>
          <w:rFonts w:eastAsia="Calibri" w:cs="Arial"/>
          <w:color w:val="000000"/>
          <w:szCs w:val="20"/>
          <w:lang w:val="sl-SI"/>
        </w:rPr>
        <w:t xml:space="preserve">imela </w:t>
      </w:r>
      <w:r w:rsidRPr="00C11AB8">
        <w:rPr>
          <w:rFonts w:eastAsia="Calibri" w:cs="Arial"/>
          <w:color w:val="000000"/>
          <w:szCs w:val="20"/>
          <w:lang w:val="sl-SI"/>
        </w:rPr>
        <w:t>zakonsko urejen</w:t>
      </w:r>
      <w:r w:rsidR="00DF0E87" w:rsidRPr="00C11AB8">
        <w:rPr>
          <w:rFonts w:eastAsia="Calibri" w:cs="Arial"/>
          <w:color w:val="000000"/>
          <w:szCs w:val="20"/>
          <w:lang w:val="sl-SI"/>
        </w:rPr>
        <w:t>o</w:t>
      </w:r>
      <w:r w:rsidRPr="00C11AB8">
        <w:rPr>
          <w:rFonts w:eastAsia="Calibri" w:cs="Arial"/>
          <w:color w:val="000000"/>
          <w:szCs w:val="20"/>
          <w:lang w:val="sl-SI"/>
        </w:rPr>
        <w:t xml:space="preserve"> področj</w:t>
      </w:r>
      <w:r w:rsidR="00DF0E87" w:rsidRPr="00C11AB8">
        <w:rPr>
          <w:rFonts w:eastAsia="Calibri" w:cs="Arial"/>
          <w:color w:val="000000"/>
          <w:szCs w:val="20"/>
          <w:lang w:val="sl-SI"/>
        </w:rPr>
        <w:t>e</w:t>
      </w:r>
      <w:r w:rsidRPr="00C11AB8">
        <w:rPr>
          <w:rFonts w:eastAsia="Calibri" w:cs="Arial"/>
          <w:color w:val="000000"/>
          <w:szCs w:val="20"/>
          <w:lang w:val="sl-SI"/>
        </w:rPr>
        <w:t xml:space="preserve"> zagotavljanja informacijske varnosti</w:t>
      </w:r>
      <w:r w:rsidR="00DF0E87" w:rsidRPr="00C11AB8">
        <w:rPr>
          <w:rFonts w:eastAsia="Calibri" w:cs="Arial"/>
          <w:color w:val="000000"/>
          <w:szCs w:val="20"/>
          <w:lang w:val="sl-SI"/>
        </w:rPr>
        <w:t xml:space="preserve"> v Zakonu o</w:t>
      </w:r>
      <w:r w:rsidR="00DF0E87" w:rsidRPr="00DF0E87">
        <w:rPr>
          <w:rFonts w:eastAsia="Calibri" w:cs="Arial"/>
          <w:color w:val="000000"/>
          <w:szCs w:val="20"/>
          <w:lang w:val="sl-SI"/>
        </w:rPr>
        <w:t xml:space="preserve"> informacijski varnosti (Uradni list RS, št. 30/18, 95/21, 130/22 – ZEKom-2, 18/23 – ZDU-1O in 49/23).</w:t>
      </w:r>
      <w:r w:rsidR="00415FF6" w:rsidRPr="00C11AB8">
        <w:rPr>
          <w:lang w:val="sl-SI"/>
        </w:rPr>
        <w:t xml:space="preserve"> </w:t>
      </w:r>
      <w:r w:rsidR="00415FF6" w:rsidRPr="00415FF6">
        <w:rPr>
          <w:rFonts w:eastAsia="Calibri" w:cs="Arial"/>
          <w:color w:val="000000"/>
          <w:szCs w:val="20"/>
          <w:lang w:val="sl-SI"/>
        </w:rPr>
        <w:t>Ob tem je treba pojasniti, da za pravne ali fizične osebe, v kolikor zagotavljajo javna komunikacijska omrežja ali javno dostopne elektronske komunikacijske storitve (v nadaljnjem besedilu: operaterji), veljajo posebne obveznosti glede varnosti in celovitosti omrežij in storitev iz VII. poglavja (Varnost omrežij in storitev ter delovanje v izjemnih stanjih) Zakona o elektronskih komunikacijah (Uradni list RS, št. 109/12, 110/13, 40/14 – ZIN-B, 54/14 – odl. US, 81/15 in 40/17; v nadaljnjem besedilu: ZEKom-1), kjer gre za prenos 13.a in 13.b člena Direktive 2002/21/ES Evropskega parlamenta in Sveta z dne 7. marca 2002 o skupnem regulativnem okviru za elektronska komunikacijska omrežja in storitve (Okvirna direktiva). Operaterji morajo namreč sprejeti ustrezne tehnične in organizacijske ukrepe za ustrezno obvladovanje tveganja za varnost omrežij in storitev, zlasti zaradi preprečevanja in zmanjševanja učinkov varnostnih incidentov na uporabnike in medsebojno povezana omrežja. Sprejeti ukrepi morajo ob upoštevanju stanja zagotoviti raven varnosti, primerno predvidenemu tveganju. Določene so tudi obveznosti obveščanja in poročanja o kršitvah varnosti ali celovitosti Agenciji za komunikacijska omrežja in storitve RS (v nadaljnjem besedilu: AKOS), ki potem po potrebi poroča UVTP. Iz tega razloga Direktiva 2016/1148/ES v tretjem odstavku 1. člena operaterje izključuje iz svojega dometa, temu pa sledi tudi predlog ZIV. Določbe Z</w:t>
      </w:r>
      <w:r w:rsidR="00415FF6">
        <w:rPr>
          <w:rFonts w:eastAsia="Calibri" w:cs="Arial"/>
          <w:color w:val="000000"/>
          <w:szCs w:val="20"/>
          <w:lang w:val="sl-SI"/>
        </w:rPr>
        <w:t>Inf</w:t>
      </w:r>
      <w:r w:rsidR="00415FF6" w:rsidRPr="00415FF6">
        <w:rPr>
          <w:rFonts w:eastAsia="Calibri" w:cs="Arial"/>
          <w:color w:val="000000"/>
          <w:szCs w:val="20"/>
          <w:lang w:val="sl-SI"/>
        </w:rPr>
        <w:t>V se ne uporablja</w:t>
      </w:r>
      <w:r w:rsidR="00415FF6">
        <w:rPr>
          <w:rFonts w:eastAsia="Calibri" w:cs="Arial"/>
          <w:color w:val="000000"/>
          <w:szCs w:val="20"/>
          <w:lang w:val="sl-SI"/>
        </w:rPr>
        <w:t>jo</w:t>
      </w:r>
      <w:r w:rsidR="00415FF6" w:rsidRPr="00415FF6">
        <w:rPr>
          <w:rFonts w:eastAsia="Calibri" w:cs="Arial"/>
          <w:color w:val="000000"/>
          <w:szCs w:val="20"/>
          <w:lang w:val="sl-SI"/>
        </w:rPr>
        <w:t xml:space="preserve"> tudi za ponudnike storitev zaupanja, za katere veljajo zahteve iz 19. člena Uredbe (EU) št. 910/2014 (tako imenovana Uredba eIDAS)</w:t>
      </w:r>
      <w:r w:rsidR="00415FF6">
        <w:rPr>
          <w:rFonts w:eastAsia="Calibri" w:cs="Arial"/>
          <w:color w:val="000000"/>
          <w:szCs w:val="20"/>
          <w:lang w:val="sl-SI"/>
        </w:rPr>
        <w:t>.</w:t>
      </w:r>
    </w:p>
    <w:p w14:paraId="4FFD80EF" w14:textId="77777777" w:rsidR="00DF0E87" w:rsidRDefault="00DF0E87" w:rsidP="00A2556F">
      <w:pPr>
        <w:spacing w:line="276" w:lineRule="auto"/>
        <w:jc w:val="both"/>
        <w:rPr>
          <w:rFonts w:eastAsia="Calibri" w:cs="Arial"/>
          <w:color w:val="000000"/>
          <w:szCs w:val="20"/>
          <w:highlight w:val="yellow"/>
          <w:lang w:val="sl-SI"/>
        </w:rPr>
      </w:pPr>
    </w:p>
    <w:p w14:paraId="0D66DF12" w14:textId="2A499988" w:rsidR="0085173A" w:rsidRPr="006D1761" w:rsidRDefault="0085173A" w:rsidP="00A2556F">
      <w:pPr>
        <w:spacing w:line="276" w:lineRule="auto"/>
        <w:jc w:val="both"/>
        <w:rPr>
          <w:rFonts w:eastAsia="Calibri" w:cs="Arial"/>
          <w:color w:val="000000"/>
          <w:szCs w:val="20"/>
          <w:highlight w:val="yellow"/>
          <w:lang w:val="sl-SI"/>
        </w:rPr>
      </w:pPr>
      <w:r w:rsidRPr="00C11AB8">
        <w:rPr>
          <w:rFonts w:eastAsia="Calibri" w:cs="Arial"/>
          <w:color w:val="000000"/>
          <w:szCs w:val="20"/>
          <w:lang w:val="sl-SI"/>
        </w:rPr>
        <w:t xml:space="preserve">Naraščajoči trend obsega </w:t>
      </w:r>
      <w:r w:rsidR="00415FF6" w:rsidRPr="00C11AB8">
        <w:rPr>
          <w:rFonts w:eastAsia="Calibri" w:cs="Arial"/>
          <w:color w:val="000000"/>
          <w:szCs w:val="20"/>
          <w:lang w:val="sl-SI"/>
        </w:rPr>
        <w:t xml:space="preserve">in kompleksnost </w:t>
      </w:r>
      <w:r w:rsidRPr="00C11AB8">
        <w:rPr>
          <w:rFonts w:eastAsia="Calibri" w:cs="Arial"/>
          <w:color w:val="000000"/>
          <w:szCs w:val="20"/>
          <w:lang w:val="sl-SI"/>
        </w:rPr>
        <w:t xml:space="preserve">incidentov v kibernetskem prostoru in velika odvisnost gospodarstva ter celotne družbe od neprekinjenega delovanja omrežij in informacijskih sistemov pa zahtevajo celovito ureditev in tudi okrepitev področja zagotavljanja informacijske varnosti. Državo k temu zavezujejo tudi sprejeti strateški domači in mednarodni dokumenti, na primer Resolucija o strategiji nacionalne varnosti RS, Strategija kibernetske varnosti Evropske unije »Odprt, varen in zavarovan kibernetski prostor« ter nacionalna Strategija kibernetske varnosti in predvsem Direktiva </w:t>
      </w:r>
      <w:r w:rsidR="00415FF6" w:rsidRPr="00C11AB8">
        <w:rPr>
          <w:rFonts w:eastAsia="Calibri" w:cs="Arial"/>
          <w:color w:val="000000"/>
          <w:szCs w:val="20"/>
          <w:lang w:val="sl-SI"/>
        </w:rPr>
        <w:t xml:space="preserve">(EU </w:t>
      </w:r>
      <w:r w:rsidRPr="00C11AB8">
        <w:rPr>
          <w:rFonts w:eastAsia="Calibri" w:cs="Arial"/>
          <w:color w:val="000000"/>
          <w:szCs w:val="20"/>
          <w:lang w:val="sl-SI"/>
        </w:rPr>
        <w:t>20</w:t>
      </w:r>
      <w:r w:rsidR="00415FF6" w:rsidRPr="00C11AB8">
        <w:rPr>
          <w:rFonts w:eastAsia="Calibri" w:cs="Arial"/>
          <w:color w:val="000000"/>
          <w:szCs w:val="20"/>
          <w:lang w:val="sl-SI"/>
        </w:rPr>
        <w:t>22</w:t>
      </w:r>
      <w:r w:rsidRPr="00C11AB8">
        <w:rPr>
          <w:rFonts w:eastAsia="Calibri" w:cs="Arial"/>
          <w:color w:val="000000"/>
          <w:szCs w:val="20"/>
          <w:lang w:val="sl-SI"/>
        </w:rPr>
        <w:t>/</w:t>
      </w:r>
      <w:r w:rsidR="00415FF6" w:rsidRPr="00C11AB8">
        <w:rPr>
          <w:rFonts w:eastAsia="Calibri" w:cs="Arial"/>
          <w:color w:val="000000"/>
          <w:szCs w:val="20"/>
          <w:lang w:val="sl-SI"/>
        </w:rPr>
        <w:t>2555</w:t>
      </w:r>
      <w:r w:rsidRPr="00C11AB8">
        <w:rPr>
          <w:rFonts w:eastAsia="Calibri" w:cs="Arial"/>
          <w:color w:val="000000"/>
          <w:szCs w:val="20"/>
          <w:lang w:val="sl-SI"/>
        </w:rPr>
        <w:t>, ki se prenaša s predlogom tega zakona.</w:t>
      </w:r>
    </w:p>
    <w:p w14:paraId="16194862" w14:textId="77777777" w:rsidR="006D1761" w:rsidRPr="00C11AB8" w:rsidRDefault="006D1761" w:rsidP="00A2556F">
      <w:pPr>
        <w:spacing w:line="276" w:lineRule="auto"/>
        <w:jc w:val="both"/>
        <w:rPr>
          <w:rFonts w:eastAsia="Calibri" w:cs="Arial"/>
          <w:color w:val="000000"/>
          <w:szCs w:val="20"/>
          <w:lang w:val="sl-SI"/>
        </w:rPr>
      </w:pPr>
    </w:p>
    <w:p w14:paraId="381770B6" w14:textId="653BEE60" w:rsidR="00415FF6" w:rsidRPr="00C11AB8" w:rsidRDefault="0085173A" w:rsidP="00A2556F">
      <w:pPr>
        <w:spacing w:line="276" w:lineRule="auto"/>
        <w:jc w:val="both"/>
        <w:rPr>
          <w:rFonts w:eastAsia="Calibri" w:cs="Arial"/>
          <w:color w:val="000000"/>
          <w:szCs w:val="20"/>
          <w:lang w:val="sl-SI"/>
        </w:rPr>
      </w:pPr>
      <w:r w:rsidRPr="00C11AB8">
        <w:rPr>
          <w:rFonts w:eastAsia="Calibri" w:cs="Arial"/>
          <w:color w:val="000000"/>
          <w:szCs w:val="20"/>
          <w:lang w:val="sl-SI"/>
        </w:rPr>
        <w:t xml:space="preserve">Glede na zgoraj navedeno potrebnih nalog in pristojnosti ni mogoče celovito in sistemsko izvajati v nobenem od zgoraj navedenih organov, saj je za dosego ciljev na področju informacijske varnosti treba zagotoviti </w:t>
      </w:r>
      <w:r w:rsidR="00415FF6" w:rsidRPr="00C11AB8">
        <w:rPr>
          <w:rFonts w:eastAsia="Calibri" w:cs="Arial"/>
          <w:color w:val="000000"/>
          <w:szCs w:val="20"/>
          <w:lang w:val="sl-SI"/>
        </w:rPr>
        <w:t xml:space="preserve">in okrepiti </w:t>
      </w:r>
      <w:r w:rsidRPr="00C11AB8">
        <w:rPr>
          <w:rFonts w:eastAsia="Calibri" w:cs="Arial"/>
          <w:color w:val="000000"/>
          <w:szCs w:val="20"/>
          <w:lang w:val="sl-SI"/>
        </w:rPr>
        <w:t>ustrezno koordinacijo med vsemi resorji in organi</w:t>
      </w:r>
      <w:r w:rsidR="00415FF6" w:rsidRPr="00C11AB8">
        <w:rPr>
          <w:rFonts w:eastAsia="Calibri" w:cs="Arial"/>
          <w:color w:val="000000"/>
          <w:szCs w:val="20"/>
          <w:lang w:val="sl-SI"/>
        </w:rPr>
        <w:t xml:space="preserve">. Omenjeno nalogo ohranja </w:t>
      </w:r>
      <w:r w:rsidRPr="00C11AB8">
        <w:rPr>
          <w:rFonts w:eastAsia="Calibri" w:cs="Arial"/>
          <w:color w:val="000000"/>
          <w:szCs w:val="20"/>
          <w:lang w:val="sl-SI"/>
        </w:rPr>
        <w:t>pristojni nacionalni organ</w:t>
      </w:r>
      <w:r w:rsidR="00415FF6" w:rsidRPr="00C11AB8">
        <w:rPr>
          <w:rFonts w:eastAsia="Calibri" w:cs="Arial"/>
          <w:color w:val="000000"/>
          <w:szCs w:val="20"/>
          <w:lang w:val="sl-SI"/>
        </w:rPr>
        <w:t>.</w:t>
      </w:r>
    </w:p>
    <w:p w14:paraId="174F77C9" w14:textId="77777777" w:rsidR="006D1761" w:rsidRPr="006D1761" w:rsidRDefault="006D1761" w:rsidP="00A2556F">
      <w:pPr>
        <w:spacing w:line="276" w:lineRule="auto"/>
        <w:jc w:val="both"/>
        <w:rPr>
          <w:rFonts w:eastAsia="Calibri" w:cs="Arial"/>
          <w:color w:val="000000"/>
          <w:szCs w:val="20"/>
          <w:highlight w:val="yellow"/>
          <w:lang w:val="sl-SI"/>
        </w:rPr>
      </w:pPr>
    </w:p>
    <w:p w14:paraId="111E3D5D" w14:textId="0CC2E848" w:rsidR="00415FF6" w:rsidRPr="00C11AB8" w:rsidRDefault="0085173A" w:rsidP="00A2556F">
      <w:pPr>
        <w:spacing w:line="276" w:lineRule="auto"/>
        <w:jc w:val="both"/>
        <w:rPr>
          <w:rFonts w:eastAsia="Calibri" w:cs="Arial"/>
          <w:color w:val="000000"/>
          <w:szCs w:val="20"/>
          <w:lang w:val="sl-SI"/>
        </w:rPr>
      </w:pPr>
      <w:r w:rsidRPr="00C11AB8">
        <w:rPr>
          <w:rFonts w:eastAsia="Calibri" w:cs="Arial"/>
          <w:color w:val="000000"/>
          <w:szCs w:val="20"/>
          <w:lang w:val="sl-SI"/>
        </w:rPr>
        <w:t xml:space="preserve">Glede </w:t>
      </w:r>
      <w:r w:rsidR="00415FF6" w:rsidRPr="00C11AB8">
        <w:rPr>
          <w:rFonts w:eastAsia="Calibri" w:cs="Arial"/>
          <w:color w:val="000000"/>
          <w:szCs w:val="20"/>
          <w:lang w:val="sl-SI"/>
        </w:rPr>
        <w:t xml:space="preserve">skupin </w:t>
      </w:r>
      <w:r w:rsidRPr="00C11AB8">
        <w:rPr>
          <w:rFonts w:eastAsia="Calibri" w:cs="Arial"/>
          <w:color w:val="000000"/>
          <w:szCs w:val="20"/>
          <w:lang w:val="sl-SI"/>
        </w:rPr>
        <w:t xml:space="preserve">CSIRT je treba pojasniti, da </w:t>
      </w:r>
      <w:r w:rsidR="00415FF6" w:rsidRPr="00C11AB8">
        <w:rPr>
          <w:rFonts w:eastAsia="Calibri" w:cs="Arial"/>
          <w:color w:val="000000"/>
          <w:szCs w:val="20"/>
          <w:lang w:val="sl-SI"/>
        </w:rPr>
        <w:t>zakon gradi na trenutnem stanju z željo po prehodu v bolj kompleksne oblike delovanja, ki so primerno umeščene v nacionalno varnostni sistem Republike Slovenije. O</w:t>
      </w:r>
      <w:r w:rsidR="00C11AB8">
        <w:rPr>
          <w:rFonts w:eastAsia="Calibri" w:cs="Arial"/>
          <w:color w:val="000000"/>
          <w:szCs w:val="20"/>
          <w:lang w:val="sl-SI"/>
        </w:rPr>
        <w:t>b</w:t>
      </w:r>
      <w:r w:rsidR="00415FF6" w:rsidRPr="00C11AB8">
        <w:rPr>
          <w:rFonts w:eastAsia="Calibri" w:cs="Arial"/>
          <w:color w:val="000000"/>
          <w:szCs w:val="20"/>
          <w:lang w:val="sl-SI"/>
        </w:rPr>
        <w:t xml:space="preserve"> tem se z novim zakonom več energije posveča tudi varnostno operativnim centom organov državne uprave.</w:t>
      </w:r>
    </w:p>
    <w:p w14:paraId="6D6BCE3C" w14:textId="77777777" w:rsidR="00415FF6" w:rsidRDefault="00415FF6" w:rsidP="00A2556F">
      <w:pPr>
        <w:spacing w:line="276" w:lineRule="auto"/>
        <w:jc w:val="both"/>
        <w:rPr>
          <w:rFonts w:eastAsia="Calibri" w:cs="Arial"/>
          <w:color w:val="000000"/>
          <w:szCs w:val="20"/>
          <w:highlight w:val="yellow"/>
          <w:lang w:val="sl-SI"/>
        </w:rPr>
      </w:pPr>
    </w:p>
    <w:p w14:paraId="1C87D3BF" w14:textId="77777777" w:rsidR="00A23D5D" w:rsidRPr="006D1761" w:rsidRDefault="00A23D5D" w:rsidP="00A23D5D">
      <w:pPr>
        <w:overflowPunct w:val="0"/>
        <w:autoSpaceDE w:val="0"/>
        <w:autoSpaceDN w:val="0"/>
        <w:adjustRightInd w:val="0"/>
        <w:spacing w:line="276" w:lineRule="auto"/>
        <w:jc w:val="both"/>
        <w:textAlignment w:val="baseline"/>
        <w:rPr>
          <w:rFonts w:cs="Arial"/>
          <w:b/>
          <w:szCs w:val="20"/>
          <w:lang w:val="sl-SI"/>
        </w:rPr>
      </w:pPr>
      <w:r w:rsidRPr="006D1761">
        <w:rPr>
          <w:rFonts w:cs="Arial"/>
          <w:b/>
          <w:szCs w:val="20"/>
          <w:lang w:val="sl-SI"/>
        </w:rPr>
        <w:t>b) Pri obveznostih strank do javne uprave ali pravosodnih organov:</w:t>
      </w:r>
    </w:p>
    <w:p w14:paraId="04DDDA5B" w14:textId="77777777" w:rsidR="0085173A" w:rsidRPr="006D1761" w:rsidRDefault="0085173A" w:rsidP="00A23D5D">
      <w:pPr>
        <w:overflowPunct w:val="0"/>
        <w:autoSpaceDE w:val="0"/>
        <w:autoSpaceDN w:val="0"/>
        <w:adjustRightInd w:val="0"/>
        <w:spacing w:line="276" w:lineRule="auto"/>
        <w:jc w:val="both"/>
        <w:textAlignment w:val="baseline"/>
        <w:rPr>
          <w:rFonts w:cs="Arial"/>
          <w:b/>
          <w:szCs w:val="20"/>
          <w:highlight w:val="yellow"/>
          <w:lang w:val="sl-SI"/>
        </w:rPr>
      </w:pPr>
    </w:p>
    <w:p w14:paraId="372CD4EC" w14:textId="4598244A" w:rsidR="00A23D5D" w:rsidRPr="006D1761" w:rsidRDefault="0085173A" w:rsidP="00582B53">
      <w:pPr>
        <w:suppressAutoHyphens/>
        <w:overflowPunct w:val="0"/>
        <w:autoSpaceDE w:val="0"/>
        <w:autoSpaceDN w:val="0"/>
        <w:adjustRightInd w:val="0"/>
        <w:spacing w:line="276" w:lineRule="auto"/>
        <w:jc w:val="both"/>
        <w:textAlignment w:val="baseline"/>
        <w:outlineLvl w:val="3"/>
        <w:rPr>
          <w:rFonts w:cs="Arial"/>
          <w:szCs w:val="20"/>
          <w:lang w:val="sl-SI"/>
        </w:rPr>
      </w:pPr>
      <w:r w:rsidRPr="006D1761">
        <w:rPr>
          <w:rFonts w:cs="Arial"/>
          <w:szCs w:val="20"/>
          <w:lang w:val="sl-SI"/>
        </w:rPr>
        <w:t>Predlog zakona ne bo imel posledic pri obveznostih strank do javne uprave ali pravosodnih organov.</w:t>
      </w:r>
    </w:p>
    <w:p w14:paraId="52EAA5BB" w14:textId="77777777" w:rsidR="0085173A" w:rsidRPr="006D1761" w:rsidRDefault="0085173A" w:rsidP="00A23D5D">
      <w:pPr>
        <w:suppressAutoHyphens/>
        <w:overflowPunct w:val="0"/>
        <w:autoSpaceDE w:val="0"/>
        <w:autoSpaceDN w:val="0"/>
        <w:adjustRightInd w:val="0"/>
        <w:spacing w:line="276" w:lineRule="auto"/>
        <w:textAlignment w:val="baseline"/>
        <w:outlineLvl w:val="3"/>
        <w:rPr>
          <w:rFonts w:cs="Arial"/>
          <w:b/>
          <w:szCs w:val="20"/>
          <w:lang w:val="sl-SI"/>
        </w:rPr>
      </w:pPr>
    </w:p>
    <w:p w14:paraId="4DF12ED6" w14:textId="77777777" w:rsidR="00A23D5D" w:rsidRPr="006D1761" w:rsidRDefault="00A23D5D" w:rsidP="00A23D5D">
      <w:pPr>
        <w:suppressAutoHyphens/>
        <w:overflowPunct w:val="0"/>
        <w:autoSpaceDE w:val="0"/>
        <w:autoSpaceDN w:val="0"/>
        <w:adjustRightInd w:val="0"/>
        <w:spacing w:line="276" w:lineRule="auto"/>
        <w:textAlignment w:val="baseline"/>
        <w:outlineLvl w:val="3"/>
        <w:rPr>
          <w:rFonts w:cs="Arial"/>
          <w:b/>
          <w:szCs w:val="20"/>
          <w:lang w:val="sl-SI"/>
        </w:rPr>
      </w:pPr>
      <w:r w:rsidRPr="006D1761">
        <w:rPr>
          <w:rFonts w:cs="Arial"/>
          <w:b/>
          <w:szCs w:val="20"/>
          <w:lang w:val="sl-SI"/>
        </w:rPr>
        <w:t>6.2 Presoja posledic za okolje, vključno s prostorskimi in varstvenimi vidiki:</w:t>
      </w:r>
    </w:p>
    <w:p w14:paraId="382288E1" w14:textId="77777777" w:rsidR="00A23D5D" w:rsidRPr="006D1761" w:rsidRDefault="00A23D5D" w:rsidP="00A23D5D">
      <w:pPr>
        <w:suppressAutoHyphens/>
        <w:overflowPunct w:val="0"/>
        <w:autoSpaceDE w:val="0"/>
        <w:autoSpaceDN w:val="0"/>
        <w:adjustRightInd w:val="0"/>
        <w:spacing w:line="276" w:lineRule="auto"/>
        <w:textAlignment w:val="baseline"/>
        <w:outlineLvl w:val="3"/>
        <w:rPr>
          <w:rFonts w:cs="Arial"/>
          <w:szCs w:val="20"/>
          <w:lang w:val="sl-SI"/>
        </w:rPr>
      </w:pPr>
    </w:p>
    <w:p w14:paraId="0B24B36F" w14:textId="77777777" w:rsidR="0085173A" w:rsidRPr="006D1761" w:rsidRDefault="0085173A" w:rsidP="0085173A">
      <w:pPr>
        <w:suppressAutoHyphens/>
        <w:overflowPunct w:val="0"/>
        <w:autoSpaceDE w:val="0"/>
        <w:autoSpaceDN w:val="0"/>
        <w:adjustRightInd w:val="0"/>
        <w:spacing w:line="276" w:lineRule="auto"/>
        <w:jc w:val="both"/>
        <w:textAlignment w:val="baseline"/>
        <w:outlineLvl w:val="3"/>
        <w:rPr>
          <w:rFonts w:cs="Arial"/>
          <w:szCs w:val="20"/>
          <w:lang w:val="sl-SI"/>
        </w:rPr>
      </w:pPr>
      <w:r w:rsidRPr="006D1761">
        <w:rPr>
          <w:rFonts w:cs="Arial"/>
          <w:szCs w:val="20"/>
          <w:lang w:val="sl-SI"/>
        </w:rPr>
        <w:t>Predlog zakona ima pozitivne posledice za okolje, za cilje upravljanja voda in za varstvo pred naravnimi in drugimi nesrečami s posledicami za okolje, kot tudi za zmanjševanje verjetnosti in stopnje tveganja za okolje.</w:t>
      </w:r>
    </w:p>
    <w:p w14:paraId="41535316" w14:textId="77777777" w:rsidR="0085173A" w:rsidRPr="006D1761" w:rsidRDefault="0085173A" w:rsidP="0085173A">
      <w:pPr>
        <w:suppressAutoHyphens/>
        <w:overflowPunct w:val="0"/>
        <w:autoSpaceDE w:val="0"/>
        <w:autoSpaceDN w:val="0"/>
        <w:adjustRightInd w:val="0"/>
        <w:spacing w:line="276" w:lineRule="auto"/>
        <w:jc w:val="both"/>
        <w:textAlignment w:val="baseline"/>
        <w:outlineLvl w:val="3"/>
        <w:rPr>
          <w:rFonts w:cs="Arial"/>
          <w:szCs w:val="20"/>
          <w:lang w:val="sl-SI"/>
        </w:rPr>
      </w:pPr>
    </w:p>
    <w:p w14:paraId="74CBBD5D" w14:textId="4B767F0E" w:rsidR="0085173A" w:rsidRPr="006D1761" w:rsidRDefault="0085173A" w:rsidP="0085173A">
      <w:pPr>
        <w:suppressAutoHyphens/>
        <w:overflowPunct w:val="0"/>
        <w:autoSpaceDE w:val="0"/>
        <w:autoSpaceDN w:val="0"/>
        <w:adjustRightInd w:val="0"/>
        <w:spacing w:line="276" w:lineRule="auto"/>
        <w:jc w:val="both"/>
        <w:textAlignment w:val="baseline"/>
        <w:outlineLvl w:val="3"/>
        <w:rPr>
          <w:rFonts w:cs="Arial"/>
          <w:szCs w:val="20"/>
          <w:lang w:val="sl-SI"/>
        </w:rPr>
      </w:pPr>
      <w:r w:rsidRPr="006D1761">
        <w:rPr>
          <w:rFonts w:cs="Arial"/>
          <w:szCs w:val="20"/>
          <w:lang w:val="sl-SI"/>
        </w:rPr>
        <w:t xml:space="preserve">Predlog zakona namreč med področja, na katerih delujejo bistveni in pomembni subjekti (zavezanci po tem zakonu), uvršča tudi </w:t>
      </w:r>
      <w:r w:rsidR="00401022" w:rsidRPr="006D1761">
        <w:rPr>
          <w:rFonts w:cs="Arial"/>
          <w:szCs w:val="20"/>
          <w:lang w:val="sl-SI"/>
        </w:rPr>
        <w:t>sektorja pitna in odpadna voda ter ravnanje z odpadki.</w:t>
      </w:r>
      <w:r w:rsidR="00434719" w:rsidRPr="006D1761">
        <w:rPr>
          <w:rFonts w:cs="Arial"/>
          <w:szCs w:val="20"/>
          <w:lang w:val="sl-SI"/>
        </w:rPr>
        <w:t xml:space="preserve"> </w:t>
      </w:r>
      <w:r w:rsidRPr="006D1761">
        <w:rPr>
          <w:rFonts w:cs="Arial"/>
          <w:szCs w:val="20"/>
          <w:lang w:val="sl-SI"/>
        </w:rPr>
        <w:t xml:space="preserve">S tem ko bodo </w:t>
      </w:r>
      <w:r w:rsidR="00401022" w:rsidRPr="006D1761">
        <w:rPr>
          <w:rFonts w:cs="Arial"/>
          <w:szCs w:val="20"/>
          <w:lang w:val="sl-SI"/>
        </w:rPr>
        <w:t xml:space="preserve">zavezanci </w:t>
      </w:r>
      <w:r w:rsidRPr="006D1761">
        <w:rPr>
          <w:rFonts w:cs="Arial"/>
          <w:szCs w:val="20"/>
          <w:lang w:val="sl-SI"/>
        </w:rPr>
        <w:t xml:space="preserve">iz omenjenih </w:t>
      </w:r>
      <w:r w:rsidR="00401022" w:rsidRPr="006D1761">
        <w:rPr>
          <w:rFonts w:cs="Arial"/>
          <w:szCs w:val="20"/>
          <w:lang w:val="sl-SI"/>
        </w:rPr>
        <w:t xml:space="preserve">sektorjev </w:t>
      </w:r>
      <w:r w:rsidRPr="006D1761">
        <w:rPr>
          <w:rFonts w:cs="Arial"/>
          <w:szCs w:val="20"/>
          <w:lang w:val="sl-SI"/>
        </w:rPr>
        <w:t xml:space="preserve">poskrbeli za ustrezno raven varnosti svojih omrežij in informacijskih sistemov skladno s tem zakonom, se bo zmanjšala njihova ranljivost v primeru </w:t>
      </w:r>
      <w:r w:rsidR="00401022" w:rsidRPr="006D1761">
        <w:rPr>
          <w:rFonts w:cs="Arial"/>
          <w:szCs w:val="20"/>
          <w:lang w:val="sl-SI"/>
        </w:rPr>
        <w:lastRenderedPageBreak/>
        <w:t xml:space="preserve">pomembnih </w:t>
      </w:r>
      <w:r w:rsidRPr="006D1761">
        <w:rPr>
          <w:rFonts w:cs="Arial"/>
          <w:szCs w:val="20"/>
          <w:lang w:val="sl-SI"/>
        </w:rPr>
        <w:t xml:space="preserve">incidentov, ki bi sicer lahko imeli negativne posledice. Prav tako se bodo ob ustrezni priglasitvi incidentov </w:t>
      </w:r>
      <w:r w:rsidR="00401022" w:rsidRPr="006D1761">
        <w:rPr>
          <w:rFonts w:cs="Arial"/>
          <w:szCs w:val="20"/>
          <w:lang w:val="sl-SI"/>
        </w:rPr>
        <w:t>pristojni skupini</w:t>
      </w:r>
      <w:r w:rsidRPr="006D1761">
        <w:rPr>
          <w:rFonts w:cs="Arial"/>
          <w:szCs w:val="20"/>
          <w:lang w:val="sl-SI"/>
        </w:rPr>
        <w:t xml:space="preserve"> CSIRT in ob sodelovanju z njim ter pristojnim nacionalnim organom lahko zmanjšali tudi že nastali negativni vplivi incidentov na obe področji.</w:t>
      </w:r>
    </w:p>
    <w:p w14:paraId="125551EC" w14:textId="77777777" w:rsidR="0085173A" w:rsidRPr="006D1761" w:rsidRDefault="0085173A" w:rsidP="00A23D5D">
      <w:pPr>
        <w:suppressAutoHyphens/>
        <w:overflowPunct w:val="0"/>
        <w:autoSpaceDE w:val="0"/>
        <w:autoSpaceDN w:val="0"/>
        <w:adjustRightInd w:val="0"/>
        <w:spacing w:line="276" w:lineRule="auto"/>
        <w:textAlignment w:val="baseline"/>
        <w:outlineLvl w:val="3"/>
        <w:rPr>
          <w:rFonts w:cs="Arial"/>
          <w:b/>
          <w:szCs w:val="20"/>
          <w:highlight w:val="yellow"/>
          <w:lang w:val="sl-SI"/>
        </w:rPr>
      </w:pPr>
    </w:p>
    <w:p w14:paraId="1FE9FB01" w14:textId="77777777" w:rsidR="00A23D5D" w:rsidRPr="006D1761" w:rsidRDefault="00A23D5D" w:rsidP="00A23D5D">
      <w:pPr>
        <w:suppressAutoHyphens/>
        <w:overflowPunct w:val="0"/>
        <w:autoSpaceDE w:val="0"/>
        <w:autoSpaceDN w:val="0"/>
        <w:adjustRightInd w:val="0"/>
        <w:spacing w:line="276" w:lineRule="auto"/>
        <w:textAlignment w:val="baseline"/>
        <w:outlineLvl w:val="3"/>
        <w:rPr>
          <w:rFonts w:cs="Arial"/>
          <w:b/>
          <w:szCs w:val="20"/>
          <w:lang w:val="sl-SI"/>
        </w:rPr>
      </w:pPr>
      <w:r w:rsidRPr="006D1761">
        <w:rPr>
          <w:rFonts w:cs="Arial"/>
          <w:b/>
          <w:szCs w:val="20"/>
          <w:lang w:val="sl-SI"/>
        </w:rPr>
        <w:t>6.3 Presoja posledic za gospodarstvo:</w:t>
      </w:r>
    </w:p>
    <w:p w14:paraId="52E7A6A7" w14:textId="77777777" w:rsidR="00B901A4" w:rsidRPr="006D1761" w:rsidRDefault="00B901A4" w:rsidP="00A23D5D">
      <w:pPr>
        <w:suppressAutoHyphens/>
        <w:overflowPunct w:val="0"/>
        <w:autoSpaceDE w:val="0"/>
        <w:autoSpaceDN w:val="0"/>
        <w:adjustRightInd w:val="0"/>
        <w:spacing w:line="276" w:lineRule="auto"/>
        <w:textAlignment w:val="baseline"/>
        <w:outlineLvl w:val="3"/>
        <w:rPr>
          <w:rFonts w:cs="Arial"/>
          <w:b/>
          <w:szCs w:val="20"/>
          <w:lang w:val="sl-SI"/>
        </w:rPr>
      </w:pPr>
    </w:p>
    <w:p w14:paraId="6E74A618" w14:textId="55F1FEC6" w:rsidR="00434719" w:rsidRPr="000D2E1B" w:rsidRDefault="00401022" w:rsidP="00434719">
      <w:pPr>
        <w:spacing w:after="240" w:line="300" w:lineRule="atLeast"/>
        <w:jc w:val="both"/>
        <w:rPr>
          <w:rFonts w:eastAsia="Calibri" w:cs="Arial"/>
          <w:color w:val="000000"/>
          <w:szCs w:val="20"/>
          <w:lang w:val="sl-SI"/>
        </w:rPr>
      </w:pPr>
      <w:r w:rsidRPr="000D2E1B">
        <w:rPr>
          <w:rFonts w:eastAsia="Calibri" w:cs="Arial"/>
          <w:color w:val="000000"/>
          <w:szCs w:val="20"/>
          <w:lang w:val="sl-SI"/>
        </w:rPr>
        <w:t xml:space="preserve">Predlog zakona ima vpliv na gospodarstvo, saj so med zavezanci </w:t>
      </w:r>
      <w:r w:rsidR="00434719" w:rsidRPr="000D2E1B">
        <w:rPr>
          <w:rFonts w:eastAsia="Calibri" w:cs="Arial"/>
          <w:color w:val="000000"/>
          <w:szCs w:val="20"/>
          <w:lang w:val="sl-SI"/>
        </w:rPr>
        <w:t>v večini</w:t>
      </w:r>
      <w:r w:rsidRPr="000D2E1B">
        <w:rPr>
          <w:rFonts w:eastAsia="Calibri" w:cs="Arial"/>
          <w:color w:val="000000"/>
          <w:szCs w:val="20"/>
          <w:lang w:val="sl-SI"/>
        </w:rPr>
        <w:t xml:space="preserve"> gospodarski subjekti. Po predlogu zakona so </w:t>
      </w:r>
      <w:r w:rsidR="00434719" w:rsidRPr="000D2E1B">
        <w:rPr>
          <w:rFonts w:eastAsia="Calibri" w:cs="Arial"/>
          <w:color w:val="000000"/>
          <w:szCs w:val="20"/>
          <w:lang w:val="sl-SI"/>
        </w:rPr>
        <w:t>bistveni in pomembni subjekti</w:t>
      </w:r>
      <w:r w:rsidRPr="000D2E1B">
        <w:rPr>
          <w:rFonts w:eastAsia="Calibri" w:cs="Arial"/>
          <w:color w:val="000000"/>
          <w:szCs w:val="20"/>
          <w:lang w:val="sl-SI"/>
        </w:rPr>
        <w:t xml:space="preserve"> (zavezancev) namreč lahko javni ali zasebni subjekti, ki spadajo v katerega od v zakonu določenih področij: </w:t>
      </w:r>
      <w:r w:rsidR="00434719" w:rsidRPr="000D2E1B">
        <w:rPr>
          <w:rFonts w:eastAsia="Calibri" w:cs="Arial"/>
          <w:color w:val="000000"/>
          <w:szCs w:val="20"/>
          <w:lang w:val="sl-SI"/>
        </w:rPr>
        <w:t>energetika, promet, bančništvo, infrastruktura finančnih trgov, zdravje, pitna voda, odpadne vode, digitalna infrastruktura, upravljanje s storitvami IKT, vesolje, poštne in kurirske storitve, ravnanje z odpadki, izdelava, proizvodnja in distribucija kemikalij, pridelava, predelava in distribucija živil, proizvodnja (proizvodnja medicinskih pripomočkov ter in vitro diagnostičnih medicinskih pripomočkov; proizvodnja računalnikov, elektronskih in optičnih izdelkov; proizvodnja električnih naprav; proizvodnja drugih strojev in naprav; proizvodnja motornih vozil, prikolic in polprikolic; proizvodnja drugih vozil in plovil), digitalni ponudniki in raziskav</w:t>
      </w:r>
    </w:p>
    <w:p w14:paraId="66EEAB17" w14:textId="73D0402C" w:rsidR="00401022" w:rsidRPr="000D2E1B" w:rsidRDefault="00434719" w:rsidP="00401022">
      <w:pPr>
        <w:spacing w:after="240" w:line="300" w:lineRule="atLeast"/>
        <w:jc w:val="both"/>
        <w:rPr>
          <w:rFonts w:eastAsia="Calibri" w:cs="Arial"/>
          <w:color w:val="000000"/>
          <w:szCs w:val="20"/>
          <w:lang w:val="sl-SI"/>
        </w:rPr>
      </w:pPr>
      <w:r w:rsidRPr="000D2E1B">
        <w:rPr>
          <w:rFonts w:eastAsia="Calibri" w:cs="Arial"/>
          <w:color w:val="000000"/>
          <w:szCs w:val="20"/>
          <w:lang w:val="sl-SI"/>
        </w:rPr>
        <w:t>P</w:t>
      </w:r>
      <w:r w:rsidR="00401022" w:rsidRPr="000D2E1B">
        <w:rPr>
          <w:rFonts w:eastAsia="Calibri" w:cs="Arial"/>
          <w:color w:val="000000"/>
          <w:szCs w:val="20"/>
          <w:lang w:val="sl-SI"/>
        </w:rPr>
        <w:t xml:space="preserve">redlog zakona sicer prinaša </w:t>
      </w:r>
      <w:r w:rsidRPr="000D2E1B">
        <w:rPr>
          <w:rFonts w:eastAsia="Calibri" w:cs="Arial"/>
          <w:color w:val="000000"/>
          <w:szCs w:val="20"/>
          <w:lang w:val="sl-SI"/>
        </w:rPr>
        <w:t>nabor</w:t>
      </w:r>
      <w:r w:rsidR="00401022" w:rsidRPr="000D2E1B">
        <w:rPr>
          <w:rFonts w:eastAsia="Calibri" w:cs="Arial"/>
          <w:color w:val="000000"/>
          <w:szCs w:val="20"/>
          <w:lang w:val="sl-SI"/>
        </w:rPr>
        <w:t xml:space="preserve"> obveznosti za tiste gospodarske subjekte, ki so zavezanci po tem zakonu, saj bodo morali poskrbeti za </w:t>
      </w:r>
      <w:r w:rsidRPr="000D2E1B">
        <w:rPr>
          <w:rFonts w:eastAsia="Calibri" w:cs="Arial"/>
          <w:color w:val="000000"/>
          <w:szCs w:val="20"/>
          <w:lang w:val="sl-SI"/>
        </w:rPr>
        <w:t xml:space="preserve">kibernetsko varnost in </w:t>
      </w:r>
      <w:r w:rsidR="00401022" w:rsidRPr="000D2E1B">
        <w:rPr>
          <w:rFonts w:eastAsia="Calibri" w:cs="Arial"/>
          <w:color w:val="000000"/>
          <w:szCs w:val="20"/>
          <w:lang w:val="sl-SI"/>
        </w:rPr>
        <w:t xml:space="preserve">ustrezno raven varnosti svojih omrežij in informacijskih sistemov skladno s tem zakonom, pa tudi določena administrativna bremena zaradi priglasitve incidentov </w:t>
      </w:r>
      <w:r w:rsidRPr="000D2E1B">
        <w:rPr>
          <w:rFonts w:eastAsia="Calibri" w:cs="Arial"/>
          <w:color w:val="000000"/>
          <w:szCs w:val="20"/>
          <w:lang w:val="sl-SI"/>
        </w:rPr>
        <w:t>skupini</w:t>
      </w:r>
      <w:r w:rsidR="00401022" w:rsidRPr="000D2E1B">
        <w:rPr>
          <w:rFonts w:eastAsia="Calibri" w:cs="Arial"/>
          <w:color w:val="000000"/>
          <w:szCs w:val="20"/>
          <w:lang w:val="sl-SI"/>
        </w:rPr>
        <w:t xml:space="preserve"> CSIRT in sodelovanja z njim ter pristojnim nacionalnim organom. </w:t>
      </w:r>
    </w:p>
    <w:p w14:paraId="6D26862B" w14:textId="7121C096" w:rsidR="00401022" w:rsidRPr="000D2E1B" w:rsidRDefault="00401022" w:rsidP="00401022">
      <w:pPr>
        <w:spacing w:after="240" w:line="300" w:lineRule="atLeast"/>
        <w:jc w:val="both"/>
        <w:rPr>
          <w:rFonts w:eastAsia="Calibri" w:cs="Arial"/>
          <w:color w:val="000000"/>
          <w:szCs w:val="20"/>
          <w:lang w:val="sl-SI"/>
        </w:rPr>
      </w:pPr>
      <w:r w:rsidRPr="000D2E1B">
        <w:rPr>
          <w:rFonts w:eastAsia="Calibri" w:cs="Arial"/>
          <w:color w:val="000000"/>
          <w:szCs w:val="20"/>
          <w:lang w:val="sl-SI"/>
        </w:rPr>
        <w:t xml:space="preserve">Administrativna bremena so pri </w:t>
      </w:r>
      <w:r w:rsidR="007122D4" w:rsidRPr="000D2E1B">
        <w:rPr>
          <w:rFonts w:eastAsia="Calibri" w:cs="Arial"/>
          <w:color w:val="000000"/>
          <w:szCs w:val="20"/>
          <w:lang w:val="sl-SI"/>
        </w:rPr>
        <w:t>zavezancih</w:t>
      </w:r>
      <w:r w:rsidRPr="000D2E1B">
        <w:rPr>
          <w:rFonts w:eastAsia="Calibri" w:cs="Arial"/>
          <w:color w:val="000000"/>
          <w:szCs w:val="20"/>
          <w:lang w:val="sl-SI"/>
        </w:rPr>
        <w:t xml:space="preserve"> omejena tudi tako, da lahko le-ti ob upoštevanju varnostnih zahtev druge področne zakonodaje področij, svojo že izdelano dokumentacijo (le) dopolnijo skladno s tem zakonom. </w:t>
      </w:r>
    </w:p>
    <w:p w14:paraId="79F60047" w14:textId="692F62F4" w:rsidR="00401022" w:rsidRPr="000D2E1B" w:rsidRDefault="00401022" w:rsidP="00401022">
      <w:pPr>
        <w:spacing w:after="240" w:line="300" w:lineRule="atLeast"/>
        <w:jc w:val="both"/>
        <w:rPr>
          <w:rFonts w:eastAsia="Calibri" w:cs="Arial"/>
          <w:color w:val="000000"/>
          <w:szCs w:val="20"/>
          <w:lang w:val="sl-SI"/>
        </w:rPr>
      </w:pPr>
      <w:r w:rsidRPr="000D2E1B">
        <w:rPr>
          <w:rFonts w:eastAsia="Calibri" w:cs="Arial"/>
          <w:color w:val="000000"/>
          <w:szCs w:val="20"/>
          <w:lang w:val="sl-SI"/>
        </w:rPr>
        <w:t xml:space="preserve">Upoštevanje določb predloga zakona bo izboljšalo informacijsko varnost zavezancev in s tem zmanjšalo njihova ranljivost v primeru različnih </w:t>
      </w:r>
      <w:r w:rsidR="00B901A4" w:rsidRPr="000D2E1B">
        <w:rPr>
          <w:rFonts w:eastAsia="Calibri" w:cs="Arial"/>
          <w:color w:val="000000"/>
          <w:szCs w:val="20"/>
          <w:lang w:val="sl-SI"/>
        </w:rPr>
        <w:t xml:space="preserve">kibernetskih </w:t>
      </w:r>
      <w:r w:rsidRPr="000D2E1B">
        <w:rPr>
          <w:rFonts w:eastAsia="Calibri" w:cs="Arial"/>
          <w:color w:val="000000"/>
          <w:szCs w:val="20"/>
          <w:lang w:val="sl-SI"/>
        </w:rPr>
        <w:t>incidentov ali kibernetsk</w:t>
      </w:r>
      <w:r w:rsidR="00B901A4" w:rsidRPr="000D2E1B">
        <w:rPr>
          <w:rFonts w:eastAsia="Calibri" w:cs="Arial"/>
          <w:color w:val="000000"/>
          <w:szCs w:val="20"/>
          <w:lang w:val="sl-SI"/>
        </w:rPr>
        <w:t>ih kriz</w:t>
      </w:r>
      <w:r w:rsidRPr="000D2E1B">
        <w:rPr>
          <w:rFonts w:eastAsia="Calibri" w:cs="Arial"/>
          <w:color w:val="000000"/>
          <w:szCs w:val="20"/>
          <w:lang w:val="sl-SI"/>
        </w:rPr>
        <w:t xml:space="preserve">, ki bi sicer lahko imela tudi večje škodljive posledice za njih. Prav tako se bodo ob ustrezni priglasitvi incidentov </w:t>
      </w:r>
      <w:r w:rsidR="00B901A4" w:rsidRPr="000D2E1B">
        <w:rPr>
          <w:rFonts w:eastAsia="Calibri" w:cs="Arial"/>
          <w:color w:val="000000"/>
          <w:szCs w:val="20"/>
          <w:lang w:val="sl-SI"/>
        </w:rPr>
        <w:t>skupini</w:t>
      </w:r>
      <w:r w:rsidRPr="000D2E1B">
        <w:rPr>
          <w:rFonts w:eastAsia="Calibri" w:cs="Arial"/>
          <w:color w:val="000000"/>
          <w:szCs w:val="20"/>
          <w:lang w:val="sl-SI"/>
        </w:rPr>
        <w:t xml:space="preserve"> CSIRT in ob sodelovanju z njim ter pristojnim nacionalnim organom zmanjšali že nastali negativni vplivi incidentov. Posledično bo predlog zakona zaradi večje informacijske varnosti zavezancev iz gospodarstva izboljšal njihovo konkurenčnost, tako v nacionalnem kot v mednarodnem gospodarskem prostoru.</w:t>
      </w:r>
    </w:p>
    <w:p w14:paraId="010C2F59" w14:textId="77777777" w:rsidR="00B901A4" w:rsidRPr="000D2E1B" w:rsidRDefault="00401022" w:rsidP="00B901A4">
      <w:pPr>
        <w:spacing w:after="240" w:line="300" w:lineRule="atLeast"/>
        <w:jc w:val="both"/>
        <w:rPr>
          <w:rFonts w:eastAsia="Calibri" w:cs="Arial"/>
          <w:color w:val="000000"/>
          <w:szCs w:val="20"/>
          <w:lang w:val="sl-SI"/>
        </w:rPr>
      </w:pPr>
      <w:r w:rsidRPr="000D2E1B">
        <w:rPr>
          <w:rFonts w:eastAsia="Calibri" w:cs="Arial"/>
          <w:color w:val="000000"/>
          <w:szCs w:val="20"/>
          <w:lang w:val="sl-SI"/>
        </w:rPr>
        <w:t>Večja informacijska varnost zavezancev iz gospodarstva, bo hkrati imela pozitiven vpliv na potrošnike in gospodinjstva, saj bo s tem zagotovljena večja zanesljivost storitev teh zavezancev.</w:t>
      </w:r>
    </w:p>
    <w:p w14:paraId="2460AF58" w14:textId="5C0D308B" w:rsidR="00A23D5D" w:rsidRPr="006D1761" w:rsidRDefault="00A23D5D" w:rsidP="001171F8">
      <w:pPr>
        <w:suppressAutoHyphens/>
        <w:overflowPunct w:val="0"/>
        <w:autoSpaceDE w:val="0"/>
        <w:autoSpaceDN w:val="0"/>
        <w:adjustRightInd w:val="0"/>
        <w:spacing w:line="276" w:lineRule="auto"/>
        <w:textAlignment w:val="baseline"/>
        <w:outlineLvl w:val="3"/>
        <w:rPr>
          <w:rFonts w:cs="Arial"/>
          <w:b/>
          <w:szCs w:val="20"/>
          <w:lang w:val="sl-SI"/>
        </w:rPr>
      </w:pPr>
      <w:r w:rsidRPr="006D1761">
        <w:rPr>
          <w:rFonts w:cs="Arial"/>
          <w:b/>
          <w:szCs w:val="20"/>
          <w:lang w:val="sl-SI"/>
        </w:rPr>
        <w:t>6.4 Presoja posledic za socialno področje:</w:t>
      </w:r>
    </w:p>
    <w:p w14:paraId="11E4C16F" w14:textId="77777777" w:rsidR="00401022" w:rsidRPr="001171F8" w:rsidRDefault="00401022" w:rsidP="00A23D5D">
      <w:pPr>
        <w:suppressAutoHyphens/>
        <w:overflowPunct w:val="0"/>
        <w:autoSpaceDE w:val="0"/>
        <w:autoSpaceDN w:val="0"/>
        <w:adjustRightInd w:val="0"/>
        <w:spacing w:line="276" w:lineRule="auto"/>
        <w:textAlignment w:val="baseline"/>
        <w:outlineLvl w:val="3"/>
        <w:rPr>
          <w:rFonts w:cs="Arial"/>
          <w:b/>
          <w:szCs w:val="20"/>
          <w:lang w:val="sl-SI"/>
        </w:rPr>
      </w:pPr>
    </w:p>
    <w:p w14:paraId="526FAA3E" w14:textId="51890DD7" w:rsidR="00A23D5D" w:rsidRPr="006D1761" w:rsidRDefault="00401022" w:rsidP="00415FF6">
      <w:pPr>
        <w:suppressAutoHyphens/>
        <w:overflowPunct w:val="0"/>
        <w:autoSpaceDE w:val="0"/>
        <w:autoSpaceDN w:val="0"/>
        <w:adjustRightInd w:val="0"/>
        <w:spacing w:line="276" w:lineRule="auto"/>
        <w:jc w:val="both"/>
        <w:textAlignment w:val="baseline"/>
        <w:outlineLvl w:val="3"/>
        <w:rPr>
          <w:rFonts w:cs="Arial"/>
          <w:szCs w:val="20"/>
          <w:lang w:val="sl-SI"/>
        </w:rPr>
      </w:pPr>
      <w:r w:rsidRPr="006D1761">
        <w:rPr>
          <w:rFonts w:cs="Arial"/>
          <w:szCs w:val="20"/>
          <w:lang w:val="sl-SI"/>
        </w:rPr>
        <w:t>Predlog zakona bo imel pozitivne posledice za socialno okolje, saj se bo zagotavljanju informacijske varnosti namenilo več pozornosti, hkrati se bo okrepilo zaupanje v informacijsko varnost ter s tem v storitve zavezancev. Ob tem lahko predlog zakona pozitivno vpliva na zaposlenost in trg dela, saj lahko ustvari nova delovna mesta za strokovnjake s področja informacijske varnosti.</w:t>
      </w:r>
    </w:p>
    <w:p w14:paraId="184058D0" w14:textId="77777777" w:rsidR="00401022" w:rsidRPr="006D1761" w:rsidRDefault="00401022" w:rsidP="00A23D5D">
      <w:pPr>
        <w:suppressAutoHyphens/>
        <w:overflowPunct w:val="0"/>
        <w:autoSpaceDE w:val="0"/>
        <w:autoSpaceDN w:val="0"/>
        <w:adjustRightInd w:val="0"/>
        <w:spacing w:line="276" w:lineRule="auto"/>
        <w:textAlignment w:val="baseline"/>
        <w:outlineLvl w:val="3"/>
        <w:rPr>
          <w:rFonts w:cs="Arial"/>
          <w:b/>
          <w:szCs w:val="20"/>
          <w:lang w:val="sl-SI"/>
        </w:rPr>
      </w:pPr>
    </w:p>
    <w:p w14:paraId="20E2EAA3" w14:textId="77777777" w:rsidR="00A23D5D" w:rsidRPr="006D1761" w:rsidRDefault="00A23D5D" w:rsidP="00A23D5D">
      <w:pPr>
        <w:suppressAutoHyphens/>
        <w:overflowPunct w:val="0"/>
        <w:autoSpaceDE w:val="0"/>
        <w:autoSpaceDN w:val="0"/>
        <w:adjustRightInd w:val="0"/>
        <w:spacing w:line="276" w:lineRule="auto"/>
        <w:textAlignment w:val="baseline"/>
        <w:outlineLvl w:val="3"/>
        <w:rPr>
          <w:rFonts w:cs="Arial"/>
          <w:b/>
          <w:szCs w:val="20"/>
          <w:lang w:val="sl-SI"/>
        </w:rPr>
      </w:pPr>
      <w:r w:rsidRPr="006D1761">
        <w:rPr>
          <w:rFonts w:cs="Arial"/>
          <w:b/>
          <w:szCs w:val="20"/>
          <w:lang w:val="sl-SI"/>
        </w:rPr>
        <w:t>6.5 Presoja posledic za dokumente razvojnega načrtovanja:</w:t>
      </w:r>
    </w:p>
    <w:p w14:paraId="18CED333" w14:textId="77777777" w:rsidR="00401022" w:rsidRPr="006D1761" w:rsidRDefault="00401022" w:rsidP="00401022">
      <w:pPr>
        <w:overflowPunct w:val="0"/>
        <w:autoSpaceDE w:val="0"/>
        <w:autoSpaceDN w:val="0"/>
        <w:adjustRightInd w:val="0"/>
        <w:spacing w:line="276" w:lineRule="auto"/>
        <w:jc w:val="both"/>
        <w:textAlignment w:val="baseline"/>
        <w:rPr>
          <w:rFonts w:cs="Arial"/>
          <w:szCs w:val="20"/>
          <w:lang w:val="sl-SI"/>
        </w:rPr>
      </w:pPr>
    </w:p>
    <w:p w14:paraId="4EB8268F" w14:textId="71EDB6B8" w:rsidR="00401022" w:rsidRPr="006D1761" w:rsidRDefault="00401022" w:rsidP="00401022">
      <w:pPr>
        <w:overflowPunct w:val="0"/>
        <w:autoSpaceDE w:val="0"/>
        <w:autoSpaceDN w:val="0"/>
        <w:adjustRightInd w:val="0"/>
        <w:spacing w:line="276" w:lineRule="auto"/>
        <w:jc w:val="both"/>
        <w:textAlignment w:val="baseline"/>
        <w:rPr>
          <w:rFonts w:cs="Arial"/>
          <w:szCs w:val="20"/>
          <w:lang w:val="sl-SI"/>
        </w:rPr>
      </w:pPr>
      <w:r w:rsidRPr="006D1761">
        <w:rPr>
          <w:rFonts w:cs="Arial"/>
          <w:szCs w:val="20"/>
          <w:lang w:val="sl-SI"/>
        </w:rPr>
        <w:lastRenderedPageBreak/>
        <w:t xml:space="preserve">Ukrepi iz predloga zakona bodo pripomogli k uresničevanju ciljev že sprejetih strateških domačih in mednarodnih dokumentov, na primer Resolucije o strategiji nacionalne varnosti Republike Slovenije, Strategije kibernetske varnosti Evropske unije »Odprt, varen in zavarovan kibernetski prostor« in leta 2016 sprejete nacionalne Strategije kibernetske varnosti ter Direktive (EU) 2022/2555. </w:t>
      </w:r>
    </w:p>
    <w:p w14:paraId="41E91E9D" w14:textId="77777777" w:rsidR="00B901A4" w:rsidRPr="006D1761" w:rsidRDefault="00B901A4" w:rsidP="00401022">
      <w:pPr>
        <w:overflowPunct w:val="0"/>
        <w:autoSpaceDE w:val="0"/>
        <w:autoSpaceDN w:val="0"/>
        <w:adjustRightInd w:val="0"/>
        <w:spacing w:line="276" w:lineRule="auto"/>
        <w:jc w:val="both"/>
        <w:textAlignment w:val="baseline"/>
        <w:rPr>
          <w:rFonts w:cs="Arial"/>
          <w:szCs w:val="20"/>
          <w:lang w:val="sl-SI"/>
        </w:rPr>
      </w:pPr>
    </w:p>
    <w:p w14:paraId="6A1EA8A9" w14:textId="5356BEF8" w:rsidR="00A23D5D" w:rsidRPr="006D1761" w:rsidRDefault="00401022" w:rsidP="00401022">
      <w:pPr>
        <w:overflowPunct w:val="0"/>
        <w:autoSpaceDE w:val="0"/>
        <w:autoSpaceDN w:val="0"/>
        <w:adjustRightInd w:val="0"/>
        <w:spacing w:line="276" w:lineRule="auto"/>
        <w:jc w:val="both"/>
        <w:textAlignment w:val="baseline"/>
        <w:rPr>
          <w:rFonts w:cs="Arial"/>
          <w:szCs w:val="20"/>
          <w:lang w:val="sl-SI"/>
        </w:rPr>
      </w:pPr>
      <w:r w:rsidRPr="006D1761">
        <w:rPr>
          <w:rFonts w:cs="Arial"/>
          <w:szCs w:val="20"/>
          <w:lang w:val="sl-SI"/>
        </w:rPr>
        <w:t>Zaradi uskladitve z Direktive (EU) 2022/2555. predlog zakona prinaša še nekatere dodatne elemente, ki jih bo treba vključiti v novo Strategijo kibernetske varnosti, zaradi česar se v prehodnih določbah predvideva sprejem strategije (skladno s tem zakonom) v roku enega leta od njegove uveljavitve.</w:t>
      </w:r>
    </w:p>
    <w:p w14:paraId="78910825" w14:textId="77777777" w:rsidR="00401022" w:rsidRPr="00C11AB8" w:rsidRDefault="00401022" w:rsidP="00401022">
      <w:pPr>
        <w:overflowPunct w:val="0"/>
        <w:autoSpaceDE w:val="0"/>
        <w:autoSpaceDN w:val="0"/>
        <w:adjustRightInd w:val="0"/>
        <w:spacing w:line="276" w:lineRule="auto"/>
        <w:jc w:val="both"/>
        <w:textAlignment w:val="baseline"/>
        <w:rPr>
          <w:rFonts w:cs="Arial"/>
          <w:b/>
          <w:szCs w:val="20"/>
          <w:lang w:val="sl-SI"/>
        </w:rPr>
      </w:pPr>
    </w:p>
    <w:p w14:paraId="35393EFA" w14:textId="77777777" w:rsidR="00A23D5D" w:rsidRPr="00C11AB8" w:rsidRDefault="00A23D5D" w:rsidP="00A23D5D">
      <w:pPr>
        <w:overflowPunct w:val="0"/>
        <w:autoSpaceDE w:val="0"/>
        <w:autoSpaceDN w:val="0"/>
        <w:adjustRightInd w:val="0"/>
        <w:spacing w:line="276" w:lineRule="auto"/>
        <w:jc w:val="both"/>
        <w:textAlignment w:val="baseline"/>
        <w:rPr>
          <w:rFonts w:cs="Arial"/>
          <w:b/>
          <w:szCs w:val="20"/>
          <w:lang w:val="sl-SI"/>
        </w:rPr>
      </w:pPr>
      <w:r w:rsidRPr="00C11AB8">
        <w:rPr>
          <w:rFonts w:cs="Arial"/>
          <w:b/>
          <w:szCs w:val="20"/>
          <w:lang w:val="sl-SI"/>
        </w:rPr>
        <w:t>6.6 Presoja posledic za druga področja:</w:t>
      </w:r>
    </w:p>
    <w:p w14:paraId="64B8E4CB" w14:textId="77777777" w:rsidR="00401022" w:rsidRPr="006D1761" w:rsidRDefault="00401022" w:rsidP="00401022">
      <w:pPr>
        <w:overflowPunct w:val="0"/>
        <w:autoSpaceDE w:val="0"/>
        <w:autoSpaceDN w:val="0"/>
        <w:adjustRightInd w:val="0"/>
        <w:spacing w:line="276" w:lineRule="auto"/>
        <w:jc w:val="both"/>
        <w:textAlignment w:val="baseline"/>
        <w:rPr>
          <w:rFonts w:cs="Arial"/>
          <w:szCs w:val="20"/>
          <w:lang w:val="sl-SI"/>
        </w:rPr>
      </w:pPr>
    </w:p>
    <w:p w14:paraId="7031BFA7" w14:textId="6EF26927" w:rsidR="00A23D5D" w:rsidRPr="006D1761" w:rsidRDefault="00A23D5D" w:rsidP="00401022">
      <w:pPr>
        <w:overflowPunct w:val="0"/>
        <w:autoSpaceDE w:val="0"/>
        <w:autoSpaceDN w:val="0"/>
        <w:adjustRightInd w:val="0"/>
        <w:spacing w:line="276" w:lineRule="auto"/>
        <w:jc w:val="both"/>
        <w:textAlignment w:val="baseline"/>
        <w:rPr>
          <w:rFonts w:cs="Arial"/>
          <w:szCs w:val="20"/>
          <w:lang w:val="sl-SI"/>
        </w:rPr>
      </w:pPr>
      <w:r w:rsidRPr="006D1761">
        <w:rPr>
          <w:rFonts w:cs="Arial"/>
          <w:szCs w:val="20"/>
          <w:lang w:val="sl-SI"/>
        </w:rPr>
        <w:t>Zakon ne bo imel posledic na drugih področjih.</w:t>
      </w:r>
    </w:p>
    <w:p w14:paraId="3F926AC5" w14:textId="77777777" w:rsidR="00A23D5D" w:rsidRPr="00C11AB8" w:rsidRDefault="00A23D5D" w:rsidP="00A23D5D">
      <w:pPr>
        <w:suppressAutoHyphens/>
        <w:overflowPunct w:val="0"/>
        <w:autoSpaceDE w:val="0"/>
        <w:autoSpaceDN w:val="0"/>
        <w:adjustRightInd w:val="0"/>
        <w:spacing w:line="276" w:lineRule="auto"/>
        <w:textAlignment w:val="baseline"/>
        <w:outlineLvl w:val="3"/>
        <w:rPr>
          <w:rFonts w:cs="Arial"/>
          <w:b/>
          <w:szCs w:val="20"/>
          <w:lang w:val="sl-SI"/>
        </w:rPr>
      </w:pPr>
    </w:p>
    <w:p w14:paraId="6F16E034" w14:textId="77777777" w:rsidR="00A23D5D" w:rsidRPr="00C11AB8" w:rsidRDefault="00A23D5D" w:rsidP="00A23D5D">
      <w:pPr>
        <w:suppressAutoHyphens/>
        <w:overflowPunct w:val="0"/>
        <w:autoSpaceDE w:val="0"/>
        <w:autoSpaceDN w:val="0"/>
        <w:adjustRightInd w:val="0"/>
        <w:spacing w:line="276" w:lineRule="auto"/>
        <w:textAlignment w:val="baseline"/>
        <w:outlineLvl w:val="3"/>
        <w:rPr>
          <w:rFonts w:cs="Arial"/>
          <w:b/>
          <w:szCs w:val="20"/>
          <w:lang w:val="sl-SI"/>
        </w:rPr>
      </w:pPr>
      <w:r w:rsidRPr="00C11AB8">
        <w:rPr>
          <w:rFonts w:cs="Arial"/>
          <w:b/>
          <w:szCs w:val="20"/>
          <w:lang w:val="sl-SI"/>
        </w:rPr>
        <w:t>6.7 Izvajanje sprejetega predpisa:</w:t>
      </w:r>
    </w:p>
    <w:p w14:paraId="720997D9" w14:textId="77777777" w:rsidR="00401022" w:rsidRPr="00C11AB8" w:rsidRDefault="00401022" w:rsidP="00A23D5D">
      <w:pPr>
        <w:overflowPunct w:val="0"/>
        <w:autoSpaceDE w:val="0"/>
        <w:autoSpaceDN w:val="0"/>
        <w:adjustRightInd w:val="0"/>
        <w:jc w:val="both"/>
        <w:textAlignment w:val="baseline"/>
        <w:rPr>
          <w:rFonts w:cs="Arial"/>
          <w:szCs w:val="20"/>
          <w:lang w:val="sl-SI"/>
        </w:rPr>
      </w:pPr>
    </w:p>
    <w:p w14:paraId="1E0A89AB" w14:textId="313639A9" w:rsidR="00401022" w:rsidRPr="006D1761" w:rsidRDefault="00401022" w:rsidP="00401022">
      <w:pPr>
        <w:pStyle w:val="Odstavekseznama"/>
        <w:numPr>
          <w:ilvl w:val="0"/>
          <w:numId w:val="23"/>
        </w:numPr>
        <w:overflowPunct w:val="0"/>
        <w:autoSpaceDE w:val="0"/>
        <w:autoSpaceDN w:val="0"/>
        <w:adjustRightInd w:val="0"/>
        <w:jc w:val="both"/>
        <w:textAlignment w:val="baseline"/>
        <w:rPr>
          <w:rFonts w:cs="Arial"/>
          <w:szCs w:val="20"/>
          <w:lang w:val="sl-SI"/>
        </w:rPr>
      </w:pPr>
      <w:r w:rsidRPr="006D1761">
        <w:rPr>
          <w:rFonts w:cs="Arial"/>
          <w:szCs w:val="20"/>
          <w:lang w:val="sl-SI"/>
        </w:rPr>
        <w:t>Predstavitev sprejetega zakona</w:t>
      </w:r>
    </w:p>
    <w:p w14:paraId="67A622D0" w14:textId="77777777" w:rsidR="00582B53" w:rsidRDefault="00582B53" w:rsidP="00401022">
      <w:pPr>
        <w:overflowPunct w:val="0"/>
        <w:autoSpaceDE w:val="0"/>
        <w:autoSpaceDN w:val="0"/>
        <w:adjustRightInd w:val="0"/>
        <w:jc w:val="both"/>
        <w:textAlignment w:val="baseline"/>
        <w:rPr>
          <w:rFonts w:cs="Arial"/>
          <w:szCs w:val="20"/>
          <w:lang w:val="sl-SI"/>
        </w:rPr>
      </w:pPr>
    </w:p>
    <w:p w14:paraId="00139094" w14:textId="6F2E8B62" w:rsidR="00401022" w:rsidRPr="00C11AB8" w:rsidRDefault="00401022" w:rsidP="00401022">
      <w:pPr>
        <w:overflowPunct w:val="0"/>
        <w:autoSpaceDE w:val="0"/>
        <w:autoSpaceDN w:val="0"/>
        <w:adjustRightInd w:val="0"/>
        <w:jc w:val="both"/>
        <w:textAlignment w:val="baseline"/>
        <w:rPr>
          <w:rFonts w:cs="Arial"/>
          <w:szCs w:val="20"/>
          <w:lang w:val="sl-SI"/>
        </w:rPr>
      </w:pPr>
      <w:r w:rsidRPr="006D1761">
        <w:rPr>
          <w:rFonts w:cs="Arial"/>
          <w:szCs w:val="20"/>
          <w:lang w:val="sl-SI"/>
        </w:rPr>
        <w:t>Sprejeti zakon bo objavljen na spletnih straneh Urada Vlade Republike Slovenije za informacijsko varnost.</w:t>
      </w:r>
    </w:p>
    <w:p w14:paraId="1643D8A5" w14:textId="77777777" w:rsidR="00401022" w:rsidRPr="00C11AB8" w:rsidRDefault="00401022" w:rsidP="00A23D5D">
      <w:pPr>
        <w:overflowPunct w:val="0"/>
        <w:autoSpaceDE w:val="0"/>
        <w:autoSpaceDN w:val="0"/>
        <w:adjustRightInd w:val="0"/>
        <w:jc w:val="both"/>
        <w:textAlignment w:val="baseline"/>
        <w:rPr>
          <w:rFonts w:cs="Arial"/>
          <w:szCs w:val="20"/>
          <w:lang w:val="sl-SI"/>
        </w:rPr>
      </w:pPr>
    </w:p>
    <w:p w14:paraId="738C2EC5" w14:textId="15E9B964" w:rsidR="00401022" w:rsidRPr="00C11AB8" w:rsidRDefault="00401022" w:rsidP="00401022">
      <w:pPr>
        <w:pStyle w:val="Odstavekseznama"/>
        <w:numPr>
          <w:ilvl w:val="0"/>
          <w:numId w:val="22"/>
        </w:numPr>
        <w:rPr>
          <w:rFonts w:cs="Arial"/>
          <w:szCs w:val="20"/>
          <w:lang w:val="sl-SI"/>
        </w:rPr>
      </w:pPr>
      <w:r w:rsidRPr="00C11AB8">
        <w:rPr>
          <w:rFonts w:cs="Arial"/>
          <w:szCs w:val="20"/>
          <w:lang w:val="sl-SI"/>
        </w:rPr>
        <w:t>Spremljanje izvajanja sprejetega predpisa</w:t>
      </w:r>
    </w:p>
    <w:p w14:paraId="6D9013FA" w14:textId="77777777" w:rsidR="00582B53" w:rsidRDefault="00582B53" w:rsidP="00582B53">
      <w:pPr>
        <w:overflowPunct w:val="0"/>
        <w:autoSpaceDE w:val="0"/>
        <w:autoSpaceDN w:val="0"/>
        <w:adjustRightInd w:val="0"/>
        <w:jc w:val="both"/>
        <w:textAlignment w:val="baseline"/>
        <w:rPr>
          <w:rFonts w:cs="Arial"/>
          <w:szCs w:val="20"/>
          <w:lang w:val="sl-SI"/>
        </w:rPr>
      </w:pPr>
    </w:p>
    <w:p w14:paraId="0ECDBDF5" w14:textId="77777777" w:rsidR="00582B53" w:rsidRDefault="00401022" w:rsidP="00401022">
      <w:pPr>
        <w:spacing w:after="240" w:line="300" w:lineRule="atLeast"/>
        <w:jc w:val="both"/>
        <w:rPr>
          <w:rFonts w:cs="Arial"/>
          <w:szCs w:val="20"/>
          <w:lang w:val="sl-SI"/>
        </w:rPr>
      </w:pPr>
      <w:r w:rsidRPr="00C11AB8">
        <w:rPr>
          <w:rFonts w:cs="Arial"/>
          <w:szCs w:val="20"/>
          <w:lang w:val="sl-SI"/>
        </w:rPr>
        <w:t>Sprejeti zakon bo v večjem delu izvajal pristojni nacionalni organ, ki bo tudi spremljal njegovo izvajanje.</w:t>
      </w:r>
    </w:p>
    <w:p w14:paraId="63C8B20E" w14:textId="1BDD2B2A" w:rsidR="00401022" w:rsidRPr="00582B53" w:rsidRDefault="00401022" w:rsidP="00401022">
      <w:pPr>
        <w:spacing w:after="240" w:line="300" w:lineRule="atLeast"/>
        <w:jc w:val="both"/>
        <w:rPr>
          <w:rFonts w:cs="Arial"/>
          <w:szCs w:val="20"/>
          <w:lang w:val="sl-SI"/>
        </w:rPr>
      </w:pPr>
      <w:r w:rsidRPr="00C11AB8">
        <w:rPr>
          <w:rFonts w:cs="Arial"/>
          <w:szCs w:val="20"/>
          <w:lang w:val="sl-SI"/>
        </w:rPr>
        <w:t xml:space="preserve">Inšpekcijski nadzor bo izvajal pristojni nacionalni organ oziroma njegova organizacijska enota </w:t>
      </w:r>
      <w:r w:rsidRPr="00582B53">
        <w:rPr>
          <w:rFonts w:cs="Arial"/>
          <w:szCs w:val="20"/>
          <w:lang w:val="sl-SI"/>
        </w:rPr>
        <w:t>Inšpekcija za informacijsko varnost.</w:t>
      </w:r>
    </w:p>
    <w:p w14:paraId="2563AF0F" w14:textId="2ED45A39" w:rsidR="00401022" w:rsidRPr="006D1761" w:rsidRDefault="00401022" w:rsidP="00401022">
      <w:pPr>
        <w:spacing w:after="240" w:line="300" w:lineRule="atLeast"/>
        <w:jc w:val="both"/>
        <w:rPr>
          <w:rFonts w:cs="Arial"/>
          <w:szCs w:val="20"/>
          <w:lang w:val="sl-SI"/>
        </w:rPr>
      </w:pPr>
      <w:r w:rsidRPr="00582B53">
        <w:rPr>
          <w:rFonts w:cs="Arial"/>
          <w:szCs w:val="20"/>
          <w:lang w:val="sl-SI"/>
        </w:rPr>
        <w:t xml:space="preserve">Vlada bo moralo v </w:t>
      </w:r>
      <w:r w:rsidR="00582B53" w:rsidRPr="00582B53">
        <w:rPr>
          <w:rFonts w:cs="Arial"/>
          <w:szCs w:val="20"/>
          <w:lang w:val="sl-SI"/>
        </w:rPr>
        <w:t>enem letu</w:t>
      </w:r>
      <w:r w:rsidRPr="00582B53">
        <w:rPr>
          <w:rFonts w:cs="Arial"/>
          <w:szCs w:val="20"/>
          <w:lang w:val="sl-SI"/>
        </w:rPr>
        <w:t xml:space="preserve"> od uveljavitve zakona izdati z zakonom predvidene </w:t>
      </w:r>
      <w:r w:rsidR="00582B53">
        <w:rPr>
          <w:rFonts w:cs="Arial"/>
          <w:szCs w:val="20"/>
          <w:lang w:val="sl-SI"/>
        </w:rPr>
        <w:t>predpise in strategije</w:t>
      </w:r>
      <w:r w:rsidRPr="00582B53">
        <w:rPr>
          <w:rFonts w:cs="Arial"/>
          <w:szCs w:val="20"/>
          <w:lang w:val="sl-SI"/>
        </w:rPr>
        <w:t>.</w:t>
      </w:r>
      <w:r w:rsidRPr="006D1761">
        <w:rPr>
          <w:rFonts w:cs="Arial"/>
          <w:szCs w:val="20"/>
          <w:lang w:val="sl-SI"/>
        </w:rPr>
        <w:t xml:space="preserve"> </w:t>
      </w:r>
    </w:p>
    <w:p w14:paraId="1A328A7C" w14:textId="77777777" w:rsidR="00A23D5D" w:rsidRPr="006D1761" w:rsidRDefault="00A23D5D" w:rsidP="00A23D5D">
      <w:pPr>
        <w:spacing w:line="276" w:lineRule="auto"/>
        <w:jc w:val="both"/>
        <w:rPr>
          <w:rFonts w:cs="Arial"/>
          <w:szCs w:val="20"/>
          <w:highlight w:val="yellow"/>
          <w:lang w:val="sl-SI"/>
        </w:rPr>
      </w:pPr>
    </w:p>
    <w:p w14:paraId="1FF77431" w14:textId="77777777" w:rsidR="00A23D5D" w:rsidRPr="006D1761" w:rsidRDefault="00A23D5D" w:rsidP="00A23D5D">
      <w:pPr>
        <w:suppressAutoHyphens/>
        <w:overflowPunct w:val="0"/>
        <w:autoSpaceDE w:val="0"/>
        <w:autoSpaceDN w:val="0"/>
        <w:adjustRightInd w:val="0"/>
        <w:spacing w:line="276" w:lineRule="auto"/>
        <w:textAlignment w:val="baseline"/>
        <w:outlineLvl w:val="3"/>
        <w:rPr>
          <w:rFonts w:cs="Arial"/>
          <w:b/>
          <w:szCs w:val="20"/>
          <w:lang w:val="sl-SI"/>
        </w:rPr>
      </w:pPr>
      <w:r w:rsidRPr="006D1761">
        <w:rPr>
          <w:rFonts w:cs="Arial"/>
          <w:b/>
          <w:szCs w:val="20"/>
          <w:lang w:val="sl-SI"/>
        </w:rPr>
        <w:t>6.8 Druge pomembne okoliščine v zvezi z vprašanji, ki jih ureja predlog zakona:</w:t>
      </w:r>
    </w:p>
    <w:p w14:paraId="56AD90B5" w14:textId="77777777" w:rsidR="00401022" w:rsidRPr="006D1761" w:rsidRDefault="00401022" w:rsidP="00A23D5D">
      <w:pPr>
        <w:spacing w:line="276" w:lineRule="auto"/>
        <w:jc w:val="both"/>
        <w:rPr>
          <w:rFonts w:cs="Arial"/>
          <w:szCs w:val="20"/>
          <w:lang w:val="sl-SI"/>
        </w:rPr>
      </w:pPr>
    </w:p>
    <w:p w14:paraId="733137AA" w14:textId="7E8886F0" w:rsidR="00A23D5D" w:rsidRPr="006D1761" w:rsidRDefault="00A23D5D" w:rsidP="00A23D5D">
      <w:pPr>
        <w:spacing w:line="276" w:lineRule="auto"/>
        <w:jc w:val="both"/>
        <w:rPr>
          <w:rFonts w:cs="Arial"/>
          <w:szCs w:val="20"/>
          <w:lang w:val="sl-SI"/>
        </w:rPr>
      </w:pPr>
      <w:r w:rsidRPr="006D1761">
        <w:rPr>
          <w:rFonts w:cs="Arial"/>
          <w:szCs w:val="20"/>
          <w:lang w:val="sl-SI"/>
        </w:rPr>
        <w:t>Drugih posebnih pomembnih okoliščin v zvezi z vprašanji, ki jih ureja predlog zakona, ni.</w:t>
      </w:r>
    </w:p>
    <w:p w14:paraId="7F216A85" w14:textId="77777777" w:rsidR="00A23D5D" w:rsidRPr="006D1761" w:rsidRDefault="00A23D5D" w:rsidP="00A23D5D">
      <w:pPr>
        <w:suppressAutoHyphens/>
        <w:overflowPunct w:val="0"/>
        <w:autoSpaceDE w:val="0"/>
        <w:autoSpaceDN w:val="0"/>
        <w:adjustRightInd w:val="0"/>
        <w:spacing w:line="276" w:lineRule="auto"/>
        <w:textAlignment w:val="baseline"/>
        <w:outlineLvl w:val="3"/>
        <w:rPr>
          <w:rFonts w:cs="Arial"/>
          <w:b/>
          <w:szCs w:val="20"/>
          <w:highlight w:val="yellow"/>
          <w:lang w:val="sl-SI"/>
        </w:rPr>
      </w:pPr>
    </w:p>
    <w:p w14:paraId="40007670" w14:textId="77777777" w:rsidR="00A23D5D" w:rsidRPr="006D1761" w:rsidRDefault="00A23D5D" w:rsidP="00A23D5D">
      <w:pPr>
        <w:suppressAutoHyphens/>
        <w:overflowPunct w:val="0"/>
        <w:autoSpaceDE w:val="0"/>
        <w:autoSpaceDN w:val="0"/>
        <w:adjustRightInd w:val="0"/>
        <w:spacing w:line="276" w:lineRule="auto"/>
        <w:textAlignment w:val="baseline"/>
        <w:outlineLvl w:val="3"/>
        <w:rPr>
          <w:rFonts w:cs="Arial"/>
          <w:b/>
          <w:szCs w:val="20"/>
          <w:lang w:val="sl-SI"/>
        </w:rPr>
      </w:pPr>
      <w:r w:rsidRPr="006D1761">
        <w:rPr>
          <w:rFonts w:cs="Arial"/>
          <w:b/>
          <w:szCs w:val="20"/>
          <w:lang w:val="sl-SI"/>
        </w:rPr>
        <w:t>7. PRIKAZ SODELOVANJA JAVNOSTI PRI PRIPRAVI PREDLOGA ZAKONA:</w:t>
      </w:r>
    </w:p>
    <w:p w14:paraId="0CFAF271" w14:textId="77777777" w:rsidR="00401022" w:rsidRDefault="00401022" w:rsidP="00A23D5D">
      <w:pPr>
        <w:suppressAutoHyphens/>
        <w:overflowPunct w:val="0"/>
        <w:autoSpaceDE w:val="0"/>
        <w:autoSpaceDN w:val="0"/>
        <w:adjustRightInd w:val="0"/>
        <w:spacing w:line="276" w:lineRule="auto"/>
        <w:textAlignment w:val="baseline"/>
        <w:outlineLvl w:val="3"/>
        <w:rPr>
          <w:rFonts w:cs="Arial"/>
          <w:b/>
          <w:szCs w:val="20"/>
          <w:lang w:val="sl-SI"/>
        </w:rPr>
      </w:pPr>
    </w:p>
    <w:p w14:paraId="261ADBA8" w14:textId="77777777" w:rsidR="00C66B4A" w:rsidRDefault="00C66B4A" w:rsidP="00A23D5D">
      <w:pPr>
        <w:suppressAutoHyphens/>
        <w:overflowPunct w:val="0"/>
        <w:autoSpaceDE w:val="0"/>
        <w:autoSpaceDN w:val="0"/>
        <w:adjustRightInd w:val="0"/>
        <w:spacing w:line="276" w:lineRule="auto"/>
        <w:textAlignment w:val="baseline"/>
        <w:outlineLvl w:val="3"/>
        <w:rPr>
          <w:rFonts w:cs="Arial"/>
          <w:b/>
          <w:szCs w:val="20"/>
          <w:lang w:val="sl-SI"/>
        </w:rPr>
      </w:pPr>
    </w:p>
    <w:p w14:paraId="3BCD958E" w14:textId="77777777" w:rsidR="00C66B4A" w:rsidRDefault="00C66B4A" w:rsidP="00A23D5D">
      <w:pPr>
        <w:suppressAutoHyphens/>
        <w:overflowPunct w:val="0"/>
        <w:autoSpaceDE w:val="0"/>
        <w:autoSpaceDN w:val="0"/>
        <w:adjustRightInd w:val="0"/>
        <w:spacing w:line="276" w:lineRule="auto"/>
        <w:textAlignment w:val="baseline"/>
        <w:outlineLvl w:val="3"/>
        <w:rPr>
          <w:rFonts w:cs="Arial"/>
          <w:b/>
          <w:szCs w:val="20"/>
          <w:lang w:val="sl-SI"/>
        </w:rPr>
      </w:pPr>
    </w:p>
    <w:p w14:paraId="6B5684A6" w14:textId="77777777" w:rsidR="00A23D5D" w:rsidRPr="006D1761" w:rsidRDefault="00A23D5D" w:rsidP="00A23D5D">
      <w:pPr>
        <w:rPr>
          <w:rFonts w:cs="Arial"/>
          <w:b/>
          <w:szCs w:val="20"/>
          <w:lang w:val="sl-SI"/>
        </w:rPr>
      </w:pPr>
      <w:r w:rsidRPr="006D1761">
        <w:rPr>
          <w:rFonts w:cs="Arial"/>
          <w:b/>
          <w:szCs w:val="20"/>
          <w:lang w:val="sl-SI"/>
        </w:rPr>
        <w:t>8. PODATEK O ZUNANJEM STROKOVNJAKU OZIROMA PRAVNI OSEBI, KI JE SODELOVALA PRI PRIPRAVI PREDLOGA ZAKONA, IN ZNESKU PLAČILA ZA TA NAMEN:</w:t>
      </w:r>
    </w:p>
    <w:p w14:paraId="712BD421" w14:textId="77777777" w:rsidR="00A23D5D" w:rsidRPr="006D1761" w:rsidRDefault="00A23D5D" w:rsidP="00A23D5D">
      <w:pPr>
        <w:rPr>
          <w:rFonts w:cs="Arial"/>
          <w:szCs w:val="20"/>
          <w:lang w:val="sl-SI"/>
        </w:rPr>
      </w:pPr>
    </w:p>
    <w:p w14:paraId="3975F1B2" w14:textId="24A94A0C" w:rsidR="00A23D5D" w:rsidRPr="006D1761" w:rsidRDefault="00A23D5D" w:rsidP="00A23D5D">
      <w:pPr>
        <w:rPr>
          <w:rFonts w:cs="Arial"/>
          <w:szCs w:val="20"/>
          <w:lang w:val="sl-SI"/>
        </w:rPr>
      </w:pPr>
      <w:r w:rsidRPr="006D1761">
        <w:rPr>
          <w:rFonts w:cs="Arial"/>
          <w:szCs w:val="20"/>
          <w:lang w:val="sl-SI"/>
        </w:rPr>
        <w:t>Pri pripravi zakona niso sodelovali zunanji strokovnjaki</w:t>
      </w:r>
      <w:r w:rsidR="00235E9F" w:rsidRPr="006D1761">
        <w:rPr>
          <w:rFonts w:cs="Arial"/>
          <w:szCs w:val="20"/>
          <w:lang w:val="sl-SI"/>
        </w:rPr>
        <w:t xml:space="preserve"> ali pravne osebe</w:t>
      </w:r>
      <w:r w:rsidRPr="006D1761">
        <w:rPr>
          <w:rFonts w:cs="Arial"/>
          <w:szCs w:val="20"/>
          <w:lang w:val="sl-SI"/>
        </w:rPr>
        <w:t>.</w:t>
      </w:r>
    </w:p>
    <w:p w14:paraId="7CC60F4E" w14:textId="77777777" w:rsidR="00A23D5D" w:rsidRPr="006D1761" w:rsidRDefault="00A23D5D" w:rsidP="00A23D5D">
      <w:pPr>
        <w:rPr>
          <w:rFonts w:cs="Arial"/>
          <w:b/>
          <w:szCs w:val="20"/>
          <w:lang w:val="sl-SI"/>
        </w:rPr>
      </w:pPr>
    </w:p>
    <w:p w14:paraId="554614C7" w14:textId="77777777" w:rsidR="00A23D5D" w:rsidRPr="006D1761" w:rsidRDefault="00A23D5D" w:rsidP="00A23D5D">
      <w:pPr>
        <w:suppressAutoHyphens/>
        <w:overflowPunct w:val="0"/>
        <w:autoSpaceDE w:val="0"/>
        <w:autoSpaceDN w:val="0"/>
        <w:adjustRightInd w:val="0"/>
        <w:spacing w:line="276" w:lineRule="auto"/>
        <w:jc w:val="both"/>
        <w:textAlignment w:val="baseline"/>
        <w:outlineLvl w:val="3"/>
        <w:rPr>
          <w:rFonts w:cs="Arial"/>
          <w:b/>
          <w:szCs w:val="20"/>
          <w:lang w:val="sl-SI"/>
        </w:rPr>
      </w:pPr>
      <w:r w:rsidRPr="006D1761">
        <w:rPr>
          <w:rFonts w:cs="Arial"/>
          <w:b/>
          <w:szCs w:val="20"/>
          <w:lang w:val="sl-SI"/>
        </w:rPr>
        <w:t>9. NAVEDBA, KATERI PREDSTAVNIKI PREDLAGATELJA BODO SODELOVALI PRI DELU DRŽAVNEGA ZBORA IN DELOVNIH TELES</w:t>
      </w:r>
    </w:p>
    <w:p w14:paraId="7C97F06E" w14:textId="77777777" w:rsidR="00A23D5D" w:rsidRPr="006D1761" w:rsidRDefault="00A23D5D" w:rsidP="00A23D5D">
      <w:pPr>
        <w:suppressAutoHyphens/>
        <w:overflowPunct w:val="0"/>
        <w:autoSpaceDE w:val="0"/>
        <w:autoSpaceDN w:val="0"/>
        <w:adjustRightInd w:val="0"/>
        <w:spacing w:line="276" w:lineRule="auto"/>
        <w:jc w:val="both"/>
        <w:textAlignment w:val="baseline"/>
        <w:outlineLvl w:val="3"/>
        <w:rPr>
          <w:rFonts w:cs="Arial"/>
          <w:b/>
          <w:szCs w:val="20"/>
          <w:lang w:val="sl-SI"/>
        </w:rPr>
      </w:pPr>
    </w:p>
    <w:p w14:paraId="719101A0" w14:textId="77777777" w:rsidR="00B2337A" w:rsidRPr="006D1761" w:rsidRDefault="00B2337A" w:rsidP="00B2337A">
      <w:pPr>
        <w:pStyle w:val="Odstavekseznama"/>
        <w:numPr>
          <w:ilvl w:val="0"/>
          <w:numId w:val="2"/>
        </w:numPr>
        <w:overflowPunct w:val="0"/>
        <w:autoSpaceDE w:val="0"/>
        <w:autoSpaceDN w:val="0"/>
        <w:adjustRightInd w:val="0"/>
        <w:ind w:left="738" w:hanging="425"/>
        <w:jc w:val="both"/>
        <w:textAlignment w:val="baseline"/>
        <w:rPr>
          <w:rFonts w:cs="Arial"/>
          <w:szCs w:val="20"/>
          <w:lang w:val="sl-SI" w:eastAsia="sl-SI"/>
        </w:rPr>
      </w:pPr>
      <w:r w:rsidRPr="006D1761">
        <w:rPr>
          <w:rFonts w:cs="Arial"/>
          <w:szCs w:val="20"/>
          <w:lang w:val="sl-SI" w:eastAsia="sl-SI"/>
        </w:rPr>
        <w:t>dr. Uroš Svete, direktor Urada Republike Slovenije za informacijsko varnost (v nadaljnjem besedilu URSIV),</w:t>
      </w:r>
    </w:p>
    <w:p w14:paraId="62F843FE" w14:textId="77777777" w:rsidR="00B2337A" w:rsidRPr="006D1761" w:rsidRDefault="00B2337A" w:rsidP="00B2337A">
      <w:pPr>
        <w:pStyle w:val="Odstavekseznama"/>
        <w:numPr>
          <w:ilvl w:val="0"/>
          <w:numId w:val="2"/>
        </w:numPr>
        <w:overflowPunct w:val="0"/>
        <w:autoSpaceDE w:val="0"/>
        <w:autoSpaceDN w:val="0"/>
        <w:adjustRightInd w:val="0"/>
        <w:ind w:left="738" w:hanging="425"/>
        <w:jc w:val="both"/>
        <w:textAlignment w:val="baseline"/>
        <w:rPr>
          <w:rFonts w:cs="Arial"/>
          <w:szCs w:val="20"/>
          <w:lang w:val="sl-SI" w:eastAsia="sl-SI"/>
        </w:rPr>
      </w:pPr>
      <w:r w:rsidRPr="006D1761">
        <w:rPr>
          <w:rFonts w:cs="Arial"/>
          <w:szCs w:val="20"/>
          <w:lang w:val="sl-SI" w:eastAsia="sl-SI"/>
        </w:rPr>
        <w:lastRenderedPageBreak/>
        <w:t>Kory Golob, pomočnik direktorja URSIV,</w:t>
      </w:r>
    </w:p>
    <w:p w14:paraId="695564A0" w14:textId="77777777" w:rsidR="00B2337A" w:rsidRPr="006D1761" w:rsidRDefault="00B2337A" w:rsidP="00B2337A">
      <w:pPr>
        <w:pStyle w:val="Odstavekseznama"/>
        <w:numPr>
          <w:ilvl w:val="0"/>
          <w:numId w:val="2"/>
        </w:numPr>
        <w:overflowPunct w:val="0"/>
        <w:autoSpaceDE w:val="0"/>
        <w:autoSpaceDN w:val="0"/>
        <w:adjustRightInd w:val="0"/>
        <w:ind w:left="738" w:hanging="425"/>
        <w:jc w:val="both"/>
        <w:textAlignment w:val="baseline"/>
        <w:rPr>
          <w:rFonts w:cs="Arial"/>
          <w:szCs w:val="20"/>
          <w:lang w:val="sl-SI" w:eastAsia="sl-SI"/>
        </w:rPr>
      </w:pPr>
      <w:r w:rsidRPr="006D1761">
        <w:rPr>
          <w:rFonts w:cs="Arial"/>
          <w:szCs w:val="20"/>
          <w:lang w:val="sl-SI" w:eastAsia="sl-SI"/>
        </w:rPr>
        <w:t>Mag. Melita Šinkovec, vodja Sektorja za informacijsko in kibernetsko varnost, URSIV,</w:t>
      </w:r>
    </w:p>
    <w:p w14:paraId="0C0249E9" w14:textId="77777777" w:rsidR="00B2337A" w:rsidRPr="006D1761" w:rsidRDefault="00B2337A" w:rsidP="00B2337A">
      <w:pPr>
        <w:pStyle w:val="Odstavekseznama"/>
        <w:numPr>
          <w:ilvl w:val="0"/>
          <w:numId w:val="2"/>
        </w:numPr>
        <w:overflowPunct w:val="0"/>
        <w:autoSpaceDE w:val="0"/>
        <w:autoSpaceDN w:val="0"/>
        <w:adjustRightInd w:val="0"/>
        <w:ind w:left="738" w:hanging="425"/>
        <w:jc w:val="both"/>
        <w:textAlignment w:val="baseline"/>
        <w:rPr>
          <w:rFonts w:cs="Arial"/>
          <w:szCs w:val="20"/>
          <w:lang w:val="sl-SI" w:eastAsia="sl-SI"/>
        </w:rPr>
      </w:pPr>
      <w:r w:rsidRPr="006D1761">
        <w:rPr>
          <w:rFonts w:cs="Arial"/>
          <w:szCs w:val="20"/>
          <w:lang w:val="sl-SI" w:eastAsia="sl-SI"/>
        </w:rPr>
        <w:t>Barbara Pernuš Grošelj, sekretarka, Sektor za informacijsko in kibernetsko varnost, URSIV.</w:t>
      </w:r>
    </w:p>
    <w:p w14:paraId="0B303AB7" w14:textId="77777777" w:rsidR="00661777" w:rsidRDefault="00661777" w:rsidP="00661777">
      <w:pPr>
        <w:spacing w:line="240" w:lineRule="auto"/>
        <w:rPr>
          <w:lang w:val="sl-SI"/>
        </w:rPr>
      </w:pPr>
    </w:p>
    <w:p w14:paraId="255E1519" w14:textId="77777777" w:rsidR="008B2C13" w:rsidRDefault="008B2C13" w:rsidP="00661777">
      <w:pPr>
        <w:spacing w:line="240" w:lineRule="auto"/>
        <w:rPr>
          <w:lang w:val="sl-SI"/>
        </w:rPr>
      </w:pPr>
    </w:p>
    <w:p w14:paraId="5EE3EDB9" w14:textId="77777777" w:rsidR="008B2C13" w:rsidRDefault="008B2C13" w:rsidP="00661777">
      <w:pPr>
        <w:spacing w:line="240" w:lineRule="auto"/>
        <w:rPr>
          <w:lang w:val="sl-SI"/>
        </w:rPr>
      </w:pPr>
    </w:p>
    <w:p w14:paraId="59C0171A" w14:textId="77777777" w:rsidR="008B2C13" w:rsidRPr="006D1761" w:rsidRDefault="008B2C13" w:rsidP="00661777">
      <w:pPr>
        <w:spacing w:line="240" w:lineRule="auto"/>
        <w:rPr>
          <w:lang w:val="sl-SI"/>
        </w:rPr>
      </w:pPr>
    </w:p>
    <w:sectPr w:rsidR="008B2C13" w:rsidRPr="006D1761" w:rsidSect="00744D92">
      <w:headerReference w:type="first" r:id="rId10"/>
      <w:pgSz w:w="11900" w:h="16840" w:code="9"/>
      <w:pgMar w:top="1701" w:right="1701" w:bottom="1134" w:left="1701" w:header="709"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76C85" w14:textId="77777777" w:rsidR="004304CA" w:rsidRDefault="004304CA">
      <w:r>
        <w:separator/>
      </w:r>
    </w:p>
  </w:endnote>
  <w:endnote w:type="continuationSeparator" w:id="0">
    <w:p w14:paraId="58F08DB7" w14:textId="77777777" w:rsidR="004304CA" w:rsidRDefault="00430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tka Small">
    <w:panose1 w:val="02000505000000020004"/>
    <w:charset w:val="EE"/>
    <w:family w:val="auto"/>
    <w:pitch w:val="variable"/>
    <w:sig w:usb0="A00002EF" w:usb1="4000204B" w:usb2="00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B24BE" w14:textId="77777777" w:rsidR="004304CA" w:rsidRDefault="004304CA">
      <w:r>
        <w:separator/>
      </w:r>
    </w:p>
  </w:footnote>
  <w:footnote w:type="continuationSeparator" w:id="0">
    <w:p w14:paraId="71922562" w14:textId="77777777" w:rsidR="004304CA" w:rsidRDefault="004304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967F2" w14:textId="77777777" w:rsidR="00744D92" w:rsidRDefault="00744D92"/>
  <w:tbl>
    <w:tblPr>
      <w:tblpPr w:leftFromText="142" w:rightFromText="142" w:bottomFromText="6005" w:vertAnchor="page" w:horzAnchor="page" w:tblpX="925" w:tblpY="869"/>
      <w:tblW w:w="0" w:type="auto"/>
      <w:tblLook w:val="04A0" w:firstRow="1" w:lastRow="0" w:firstColumn="1" w:lastColumn="0" w:noHBand="0" w:noVBand="1"/>
    </w:tblPr>
    <w:tblGrid>
      <w:gridCol w:w="709"/>
    </w:tblGrid>
    <w:tr w:rsidR="00995130" w:rsidRPr="008F3500" w14:paraId="788A402A" w14:textId="77777777" w:rsidTr="002A0A07">
      <w:trPr>
        <w:cantSplit/>
        <w:trHeight w:hRule="exact" w:val="847"/>
      </w:trPr>
      <w:tc>
        <w:tcPr>
          <w:tcW w:w="709" w:type="dxa"/>
        </w:tcPr>
        <w:p w14:paraId="4C23F094" w14:textId="77777777" w:rsidR="00995130" w:rsidRDefault="00995130" w:rsidP="002A0A07">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14:paraId="19D143E5" w14:textId="77777777" w:rsidR="00995130" w:rsidRPr="006D42D9" w:rsidRDefault="00995130" w:rsidP="002A0A07">
          <w:pPr>
            <w:rPr>
              <w:rFonts w:ascii="Republika" w:hAnsi="Republika"/>
              <w:sz w:val="60"/>
              <w:szCs w:val="60"/>
              <w:lang w:val="sl-SI"/>
            </w:rPr>
          </w:pPr>
        </w:p>
        <w:p w14:paraId="0C2671C6" w14:textId="77777777" w:rsidR="00995130" w:rsidRPr="006D42D9" w:rsidRDefault="00995130" w:rsidP="002A0A07">
          <w:pPr>
            <w:rPr>
              <w:rFonts w:ascii="Republika" w:hAnsi="Republika"/>
              <w:sz w:val="60"/>
              <w:szCs w:val="60"/>
              <w:lang w:val="sl-SI"/>
            </w:rPr>
          </w:pPr>
        </w:p>
        <w:p w14:paraId="39E77AA4" w14:textId="77777777" w:rsidR="00995130" w:rsidRPr="006D42D9" w:rsidRDefault="00995130" w:rsidP="002A0A07">
          <w:pPr>
            <w:rPr>
              <w:rFonts w:ascii="Republika" w:hAnsi="Republika"/>
              <w:sz w:val="60"/>
              <w:szCs w:val="60"/>
              <w:lang w:val="sl-SI"/>
            </w:rPr>
          </w:pPr>
        </w:p>
        <w:p w14:paraId="0058CAE3" w14:textId="77777777" w:rsidR="00995130" w:rsidRPr="006D42D9" w:rsidRDefault="00995130" w:rsidP="002A0A07">
          <w:pPr>
            <w:rPr>
              <w:rFonts w:ascii="Republika" w:hAnsi="Republika"/>
              <w:sz w:val="60"/>
              <w:szCs w:val="60"/>
              <w:lang w:val="sl-SI"/>
            </w:rPr>
          </w:pPr>
        </w:p>
        <w:p w14:paraId="696C09C1" w14:textId="77777777" w:rsidR="00995130" w:rsidRPr="006D42D9" w:rsidRDefault="00995130" w:rsidP="002A0A07">
          <w:pPr>
            <w:rPr>
              <w:rFonts w:ascii="Republika" w:hAnsi="Republika"/>
              <w:sz w:val="60"/>
              <w:szCs w:val="60"/>
              <w:lang w:val="sl-SI"/>
            </w:rPr>
          </w:pPr>
        </w:p>
        <w:p w14:paraId="70BF2028" w14:textId="77777777" w:rsidR="00995130" w:rsidRPr="006D42D9" w:rsidRDefault="00995130" w:rsidP="002A0A07">
          <w:pPr>
            <w:rPr>
              <w:rFonts w:ascii="Republika" w:hAnsi="Republika"/>
              <w:sz w:val="60"/>
              <w:szCs w:val="60"/>
              <w:lang w:val="sl-SI"/>
            </w:rPr>
          </w:pPr>
        </w:p>
        <w:p w14:paraId="6F418E19" w14:textId="77777777" w:rsidR="00995130" w:rsidRPr="006D42D9" w:rsidRDefault="00995130" w:rsidP="002A0A07">
          <w:pPr>
            <w:rPr>
              <w:rFonts w:ascii="Republika" w:hAnsi="Republika"/>
              <w:sz w:val="60"/>
              <w:szCs w:val="60"/>
              <w:lang w:val="sl-SI"/>
            </w:rPr>
          </w:pPr>
        </w:p>
        <w:p w14:paraId="40F540C1" w14:textId="77777777" w:rsidR="00995130" w:rsidRPr="006D42D9" w:rsidRDefault="00995130" w:rsidP="002A0A07">
          <w:pPr>
            <w:rPr>
              <w:rFonts w:ascii="Republika" w:hAnsi="Republika"/>
              <w:sz w:val="60"/>
              <w:szCs w:val="60"/>
              <w:lang w:val="sl-SI"/>
            </w:rPr>
          </w:pPr>
        </w:p>
        <w:p w14:paraId="1BC206B4" w14:textId="77777777" w:rsidR="00995130" w:rsidRPr="006D42D9" w:rsidRDefault="00995130" w:rsidP="002A0A07">
          <w:pPr>
            <w:rPr>
              <w:rFonts w:ascii="Republika" w:hAnsi="Republika"/>
              <w:sz w:val="60"/>
              <w:szCs w:val="60"/>
              <w:lang w:val="sl-SI"/>
            </w:rPr>
          </w:pPr>
        </w:p>
        <w:p w14:paraId="7D87F204" w14:textId="77777777" w:rsidR="00995130" w:rsidRPr="006D42D9" w:rsidRDefault="00995130" w:rsidP="002A0A07">
          <w:pPr>
            <w:rPr>
              <w:rFonts w:ascii="Republika" w:hAnsi="Republika"/>
              <w:sz w:val="60"/>
              <w:szCs w:val="60"/>
              <w:lang w:val="sl-SI"/>
            </w:rPr>
          </w:pPr>
        </w:p>
        <w:p w14:paraId="635C805B" w14:textId="77777777" w:rsidR="00995130" w:rsidRPr="006D42D9" w:rsidRDefault="00995130" w:rsidP="002A0A07">
          <w:pPr>
            <w:rPr>
              <w:rFonts w:ascii="Republika" w:hAnsi="Republika"/>
              <w:sz w:val="60"/>
              <w:szCs w:val="60"/>
              <w:lang w:val="sl-SI"/>
            </w:rPr>
          </w:pPr>
        </w:p>
        <w:p w14:paraId="6EB51B77" w14:textId="77777777" w:rsidR="00995130" w:rsidRPr="006D42D9" w:rsidRDefault="00995130" w:rsidP="002A0A07">
          <w:pPr>
            <w:rPr>
              <w:rFonts w:ascii="Republika" w:hAnsi="Republika"/>
              <w:sz w:val="60"/>
              <w:szCs w:val="60"/>
              <w:lang w:val="sl-SI"/>
            </w:rPr>
          </w:pPr>
        </w:p>
        <w:p w14:paraId="34EBA076" w14:textId="77777777" w:rsidR="00995130" w:rsidRPr="006D42D9" w:rsidRDefault="00995130" w:rsidP="002A0A07">
          <w:pPr>
            <w:rPr>
              <w:rFonts w:ascii="Republika" w:hAnsi="Republika"/>
              <w:sz w:val="60"/>
              <w:szCs w:val="60"/>
              <w:lang w:val="sl-SI"/>
            </w:rPr>
          </w:pPr>
        </w:p>
        <w:p w14:paraId="4E77AF00" w14:textId="77777777" w:rsidR="00995130" w:rsidRPr="006D42D9" w:rsidRDefault="00995130" w:rsidP="002A0A07">
          <w:pPr>
            <w:rPr>
              <w:rFonts w:ascii="Republika" w:hAnsi="Republika"/>
              <w:sz w:val="60"/>
              <w:szCs w:val="60"/>
              <w:lang w:val="sl-SI"/>
            </w:rPr>
          </w:pPr>
        </w:p>
        <w:p w14:paraId="60816E90" w14:textId="77777777" w:rsidR="00995130" w:rsidRPr="006D42D9" w:rsidRDefault="00995130" w:rsidP="002A0A07">
          <w:pPr>
            <w:rPr>
              <w:rFonts w:ascii="Republika" w:hAnsi="Republika"/>
              <w:sz w:val="60"/>
              <w:szCs w:val="60"/>
              <w:lang w:val="sl-SI"/>
            </w:rPr>
          </w:pPr>
        </w:p>
        <w:p w14:paraId="607B62CD" w14:textId="77777777" w:rsidR="00995130" w:rsidRPr="006D42D9" w:rsidRDefault="00995130" w:rsidP="002A0A07">
          <w:pPr>
            <w:rPr>
              <w:rFonts w:ascii="Republika" w:hAnsi="Republika"/>
              <w:sz w:val="60"/>
              <w:szCs w:val="60"/>
              <w:lang w:val="sl-SI"/>
            </w:rPr>
          </w:pPr>
        </w:p>
      </w:tc>
    </w:tr>
  </w:tbl>
  <w:p w14:paraId="1AD535C4" w14:textId="77777777" w:rsidR="00995130" w:rsidRPr="008F3500" w:rsidRDefault="00995130" w:rsidP="002A0A07">
    <w:pPr>
      <w:autoSpaceDE w:val="0"/>
      <w:autoSpaceDN w:val="0"/>
      <w:adjustRightInd w:val="0"/>
      <w:spacing w:line="240" w:lineRule="auto"/>
      <w:rPr>
        <w:rFonts w:ascii="Republika" w:hAnsi="Republika"/>
        <w:lang w:val="sl-SI"/>
      </w:rPr>
    </w:pPr>
    <w:r w:rsidRPr="008F3500">
      <w:rPr>
        <w:noProof/>
        <w:szCs w:val="20"/>
        <w:lang w:val="sl-SI" w:eastAsia="sl-SI"/>
      </w:rPr>
      <mc:AlternateContent>
        <mc:Choice Requires="wps">
          <w:drawing>
            <wp:anchor distT="0" distB="0" distL="114300" distR="114300" simplePos="0" relativeHeight="251659264" behindDoc="1" locked="0" layoutInCell="0" allowOverlap="1" wp14:anchorId="00309234" wp14:editId="62658452">
              <wp:simplePos x="0" y="0"/>
              <wp:positionH relativeFrom="column">
                <wp:posOffset>-431800</wp:posOffset>
              </wp:positionH>
              <wp:positionV relativeFrom="page">
                <wp:posOffset>3600450</wp:posOffset>
              </wp:positionV>
              <wp:extent cx="252095" cy="0"/>
              <wp:effectExtent l="10160" t="9525" r="13970"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4E6870"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Pr="008F3500">
      <w:rPr>
        <w:rFonts w:ascii="Republika" w:hAnsi="Republika"/>
        <w:lang w:val="sl-SI"/>
      </w:rPr>
      <w:t>REPUBLIKA SLOVENIJA</w:t>
    </w:r>
  </w:p>
  <w:p w14:paraId="007C5EEC" w14:textId="77777777" w:rsidR="00995130" w:rsidRPr="00D507F6" w:rsidRDefault="00995130" w:rsidP="002A0A07">
    <w:pPr>
      <w:pStyle w:val="Glava"/>
      <w:tabs>
        <w:tab w:val="clear" w:pos="4320"/>
        <w:tab w:val="clear" w:pos="8640"/>
        <w:tab w:val="left" w:pos="5112"/>
      </w:tabs>
      <w:spacing w:after="120" w:line="240" w:lineRule="exact"/>
      <w:rPr>
        <w:rFonts w:ascii="Republika" w:hAnsi="Republika"/>
        <w:b/>
        <w:caps/>
        <w:lang w:val="sl-SI"/>
      </w:rPr>
    </w:pPr>
    <w:r w:rsidRPr="00D507F6">
      <w:rPr>
        <w:rFonts w:ascii="Republika" w:hAnsi="Republika"/>
        <w:b/>
        <w:caps/>
        <w:lang w:val="sl-SI"/>
      </w:rPr>
      <w:t>Urad Vlade RS za INFORMACIJSKO VARNOST</w:t>
    </w:r>
  </w:p>
  <w:p w14:paraId="3E52387C" w14:textId="77777777" w:rsidR="00995130" w:rsidRPr="00DA4FCC" w:rsidRDefault="00995130" w:rsidP="002A0A07">
    <w:pPr>
      <w:pStyle w:val="Glava"/>
      <w:tabs>
        <w:tab w:val="clear" w:pos="4320"/>
        <w:tab w:val="clear" w:pos="8640"/>
        <w:tab w:val="left" w:pos="5112"/>
      </w:tabs>
      <w:spacing w:before="240" w:line="240" w:lineRule="exact"/>
      <w:rPr>
        <w:rFonts w:cs="Arial"/>
        <w:sz w:val="16"/>
        <w:szCs w:val="16"/>
        <w:lang w:val="sl-SI"/>
      </w:rPr>
    </w:pPr>
    <w:r>
      <w:rPr>
        <w:rFonts w:cs="Arial"/>
        <w:sz w:val="16"/>
        <w:szCs w:val="16"/>
        <w:lang w:val="sl-SI"/>
      </w:rPr>
      <w:t xml:space="preserve">Ulica gledališča BTC </w:t>
    </w:r>
    <w:r w:rsidRPr="00DA4FCC">
      <w:rPr>
        <w:rFonts w:cs="Arial"/>
        <w:sz w:val="16"/>
        <w:szCs w:val="16"/>
        <w:lang w:val="sl-SI"/>
      </w:rPr>
      <w:t>2, 1000 Ljubljana</w:t>
    </w:r>
    <w:r w:rsidRPr="00DA4FCC">
      <w:rPr>
        <w:rFonts w:cs="Arial"/>
        <w:sz w:val="16"/>
        <w:szCs w:val="16"/>
        <w:lang w:val="sl-SI"/>
      </w:rPr>
      <w:tab/>
      <w:t>T: 01 478 4778</w:t>
    </w:r>
  </w:p>
  <w:p w14:paraId="734DC217" w14:textId="77777777" w:rsidR="00995130" w:rsidRPr="00DA4FCC" w:rsidRDefault="00995130" w:rsidP="002A0A07">
    <w:pPr>
      <w:pStyle w:val="Glava"/>
      <w:tabs>
        <w:tab w:val="clear" w:pos="4320"/>
        <w:tab w:val="clear" w:pos="8640"/>
        <w:tab w:val="left" w:pos="5112"/>
      </w:tabs>
      <w:spacing w:line="240" w:lineRule="exact"/>
      <w:rPr>
        <w:rFonts w:cs="Arial"/>
        <w:sz w:val="16"/>
        <w:szCs w:val="16"/>
        <w:lang w:val="sl-SI"/>
      </w:rPr>
    </w:pPr>
    <w:r w:rsidRPr="00DA4FCC">
      <w:rPr>
        <w:rFonts w:cs="Arial"/>
        <w:sz w:val="16"/>
        <w:szCs w:val="16"/>
        <w:lang w:val="sl-SI"/>
      </w:rPr>
      <w:tab/>
      <w:t>E: gp.uiv@gov.si</w:t>
    </w:r>
  </w:p>
  <w:p w14:paraId="091BD7E2" w14:textId="77777777" w:rsidR="00995130" w:rsidRPr="00DA4FCC" w:rsidRDefault="00995130" w:rsidP="002A0A07">
    <w:pPr>
      <w:pStyle w:val="Glava"/>
      <w:tabs>
        <w:tab w:val="clear" w:pos="4320"/>
        <w:tab w:val="clear" w:pos="8640"/>
        <w:tab w:val="left" w:pos="5112"/>
      </w:tabs>
      <w:spacing w:line="240" w:lineRule="exact"/>
      <w:rPr>
        <w:rFonts w:cs="Arial"/>
        <w:sz w:val="16"/>
        <w:szCs w:val="16"/>
        <w:lang w:val="sl-SI"/>
      </w:rPr>
    </w:pPr>
    <w:r w:rsidRPr="00DA4FCC">
      <w:rPr>
        <w:rFonts w:cs="Arial"/>
        <w:sz w:val="16"/>
        <w:szCs w:val="16"/>
        <w:lang w:val="sl-SI"/>
      </w:rPr>
      <w:tab/>
      <w:t xml:space="preserve">W: http://www.uiv.gov.si </w:t>
    </w:r>
  </w:p>
  <w:p w14:paraId="0C359F65" w14:textId="77777777" w:rsidR="00995130" w:rsidRPr="00DA4FCC" w:rsidRDefault="00995130" w:rsidP="002A0A07">
    <w:pPr>
      <w:pStyle w:val="Glava"/>
      <w:tabs>
        <w:tab w:val="clear" w:pos="4320"/>
        <w:tab w:val="clear" w:pos="8640"/>
        <w:tab w:val="left" w:pos="5112"/>
      </w:tabs>
      <w:spacing w:line="240" w:lineRule="exact"/>
      <w:rPr>
        <w:rFonts w:cs="Arial"/>
        <w:sz w:val="16"/>
        <w:szCs w:val="16"/>
        <w:lang w:val="sl-SI"/>
      </w:rPr>
    </w:pPr>
    <w:r w:rsidRPr="00DA4FCC">
      <w:rPr>
        <w:rFonts w:cs="Arial"/>
        <w:sz w:val="16"/>
        <w:szCs w:val="16"/>
        <w:lang w:val="sl-SI"/>
      </w:rPr>
      <w:tab/>
      <w:t xml:space="preserve">Twitter: @URSIV_Slovenia     </w:t>
    </w:r>
  </w:p>
  <w:p w14:paraId="408882E5" w14:textId="77777777" w:rsidR="00995130" w:rsidRPr="008F3500" w:rsidRDefault="00995130"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1778E"/>
    <w:multiLevelType w:val="hybridMultilevel"/>
    <w:tmpl w:val="712C15E0"/>
    <w:lvl w:ilvl="0" w:tplc="13CCF9C0">
      <w:start w:val="1"/>
      <w:numFmt w:val="upperRoman"/>
      <w:pStyle w:val="NIS2naslovpoglavja"/>
      <w:lvlText w:val="%1."/>
      <w:lvlJc w:val="left"/>
      <w:pPr>
        <w:ind w:left="8233"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A5B4B9D"/>
    <w:multiLevelType w:val="hybridMultilevel"/>
    <w:tmpl w:val="31A28CE0"/>
    <w:lvl w:ilvl="0" w:tplc="E33AA7CE">
      <w:numFmt w:val="bullet"/>
      <w:lvlText w:val="-"/>
      <w:lvlJc w:val="left"/>
      <w:pPr>
        <w:ind w:left="1033" w:hanging="360"/>
      </w:pPr>
      <w:rPr>
        <w:rFonts w:ascii="Arial" w:eastAsia="Times New Roman" w:hAnsi="Arial" w:hint="default"/>
      </w:rPr>
    </w:lvl>
    <w:lvl w:ilvl="1" w:tplc="04240003" w:tentative="1">
      <w:start w:val="1"/>
      <w:numFmt w:val="bullet"/>
      <w:lvlText w:val="o"/>
      <w:lvlJc w:val="left"/>
      <w:pPr>
        <w:ind w:left="1753" w:hanging="360"/>
      </w:pPr>
      <w:rPr>
        <w:rFonts w:ascii="Courier New" w:hAnsi="Courier New" w:cs="Courier New" w:hint="default"/>
      </w:rPr>
    </w:lvl>
    <w:lvl w:ilvl="2" w:tplc="04240005" w:tentative="1">
      <w:start w:val="1"/>
      <w:numFmt w:val="bullet"/>
      <w:lvlText w:val=""/>
      <w:lvlJc w:val="left"/>
      <w:pPr>
        <w:ind w:left="2473" w:hanging="360"/>
      </w:pPr>
      <w:rPr>
        <w:rFonts w:ascii="Wingdings" w:hAnsi="Wingdings" w:hint="default"/>
      </w:rPr>
    </w:lvl>
    <w:lvl w:ilvl="3" w:tplc="04240001" w:tentative="1">
      <w:start w:val="1"/>
      <w:numFmt w:val="bullet"/>
      <w:lvlText w:val=""/>
      <w:lvlJc w:val="left"/>
      <w:pPr>
        <w:ind w:left="3193" w:hanging="360"/>
      </w:pPr>
      <w:rPr>
        <w:rFonts w:ascii="Symbol" w:hAnsi="Symbol" w:hint="default"/>
      </w:rPr>
    </w:lvl>
    <w:lvl w:ilvl="4" w:tplc="04240003" w:tentative="1">
      <w:start w:val="1"/>
      <w:numFmt w:val="bullet"/>
      <w:lvlText w:val="o"/>
      <w:lvlJc w:val="left"/>
      <w:pPr>
        <w:ind w:left="3913" w:hanging="360"/>
      </w:pPr>
      <w:rPr>
        <w:rFonts w:ascii="Courier New" w:hAnsi="Courier New" w:cs="Courier New" w:hint="default"/>
      </w:rPr>
    </w:lvl>
    <w:lvl w:ilvl="5" w:tplc="04240005" w:tentative="1">
      <w:start w:val="1"/>
      <w:numFmt w:val="bullet"/>
      <w:lvlText w:val=""/>
      <w:lvlJc w:val="left"/>
      <w:pPr>
        <w:ind w:left="4633" w:hanging="360"/>
      </w:pPr>
      <w:rPr>
        <w:rFonts w:ascii="Wingdings" w:hAnsi="Wingdings" w:hint="default"/>
      </w:rPr>
    </w:lvl>
    <w:lvl w:ilvl="6" w:tplc="04240001" w:tentative="1">
      <w:start w:val="1"/>
      <w:numFmt w:val="bullet"/>
      <w:lvlText w:val=""/>
      <w:lvlJc w:val="left"/>
      <w:pPr>
        <w:ind w:left="5353" w:hanging="360"/>
      </w:pPr>
      <w:rPr>
        <w:rFonts w:ascii="Symbol" w:hAnsi="Symbol" w:hint="default"/>
      </w:rPr>
    </w:lvl>
    <w:lvl w:ilvl="7" w:tplc="04240003" w:tentative="1">
      <w:start w:val="1"/>
      <w:numFmt w:val="bullet"/>
      <w:lvlText w:val="o"/>
      <w:lvlJc w:val="left"/>
      <w:pPr>
        <w:ind w:left="6073" w:hanging="360"/>
      </w:pPr>
      <w:rPr>
        <w:rFonts w:ascii="Courier New" w:hAnsi="Courier New" w:cs="Courier New" w:hint="default"/>
      </w:rPr>
    </w:lvl>
    <w:lvl w:ilvl="8" w:tplc="04240005" w:tentative="1">
      <w:start w:val="1"/>
      <w:numFmt w:val="bullet"/>
      <w:lvlText w:val=""/>
      <w:lvlJc w:val="left"/>
      <w:pPr>
        <w:ind w:left="6793" w:hanging="360"/>
      </w:pPr>
      <w:rPr>
        <w:rFonts w:ascii="Wingdings" w:hAnsi="Wingdings" w:hint="default"/>
      </w:rPr>
    </w:lvl>
  </w:abstractNum>
  <w:abstractNum w:abstractNumId="2" w15:restartNumberingAfterBreak="0">
    <w:nsid w:val="1C3C5682"/>
    <w:multiLevelType w:val="hybridMultilevel"/>
    <w:tmpl w:val="760C1568"/>
    <w:lvl w:ilvl="0" w:tplc="52DA0AB0">
      <w:start w:val="1"/>
      <w:numFmt w:val="upperRoman"/>
      <w:lvlText w:val="%1."/>
      <w:lvlJc w:val="left"/>
      <w:pPr>
        <w:ind w:left="1080" w:hanging="72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15:restartNumberingAfterBreak="0">
    <w:nsid w:val="26C460BE"/>
    <w:multiLevelType w:val="hybridMultilevel"/>
    <w:tmpl w:val="83584B9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7791056"/>
    <w:multiLevelType w:val="hybridMultilevel"/>
    <w:tmpl w:val="6290909C"/>
    <w:lvl w:ilvl="0" w:tplc="C4C2DCEC">
      <w:start w:val="1"/>
      <w:numFmt w:val="decimal"/>
      <w:pStyle w:val="tevilnatoka"/>
      <w:lvlText w:val="%1."/>
      <w:lvlJc w:val="left"/>
      <w:pPr>
        <w:tabs>
          <w:tab w:val="num" w:pos="0"/>
        </w:tabs>
        <w:ind w:left="0" w:hanging="397"/>
      </w:pPr>
      <w:rPr>
        <w:rFonts w:hint="default"/>
      </w:rPr>
    </w:lvl>
    <w:lvl w:ilvl="1" w:tplc="04240019" w:tentative="1">
      <w:start w:val="1"/>
      <w:numFmt w:val="lowerLetter"/>
      <w:lvlText w:val="%2."/>
      <w:lvlJc w:val="left"/>
      <w:pPr>
        <w:tabs>
          <w:tab w:val="num" w:pos="1043"/>
        </w:tabs>
        <w:ind w:left="1043" w:hanging="360"/>
      </w:pPr>
    </w:lvl>
    <w:lvl w:ilvl="2" w:tplc="0424001B" w:tentative="1">
      <w:start w:val="1"/>
      <w:numFmt w:val="lowerRoman"/>
      <w:lvlText w:val="%3."/>
      <w:lvlJc w:val="right"/>
      <w:pPr>
        <w:tabs>
          <w:tab w:val="num" w:pos="1763"/>
        </w:tabs>
        <w:ind w:left="1763" w:hanging="180"/>
      </w:pPr>
    </w:lvl>
    <w:lvl w:ilvl="3" w:tplc="0424000F" w:tentative="1">
      <w:start w:val="1"/>
      <w:numFmt w:val="decimal"/>
      <w:lvlText w:val="%4."/>
      <w:lvlJc w:val="left"/>
      <w:pPr>
        <w:tabs>
          <w:tab w:val="num" w:pos="2483"/>
        </w:tabs>
        <w:ind w:left="2483" w:hanging="360"/>
      </w:pPr>
    </w:lvl>
    <w:lvl w:ilvl="4" w:tplc="04240019" w:tentative="1">
      <w:start w:val="1"/>
      <w:numFmt w:val="lowerLetter"/>
      <w:lvlText w:val="%5."/>
      <w:lvlJc w:val="left"/>
      <w:pPr>
        <w:tabs>
          <w:tab w:val="num" w:pos="3203"/>
        </w:tabs>
        <w:ind w:left="3203" w:hanging="360"/>
      </w:pPr>
    </w:lvl>
    <w:lvl w:ilvl="5" w:tplc="0424001B" w:tentative="1">
      <w:start w:val="1"/>
      <w:numFmt w:val="lowerRoman"/>
      <w:lvlText w:val="%6."/>
      <w:lvlJc w:val="right"/>
      <w:pPr>
        <w:tabs>
          <w:tab w:val="num" w:pos="3923"/>
        </w:tabs>
        <w:ind w:left="3923" w:hanging="180"/>
      </w:pPr>
    </w:lvl>
    <w:lvl w:ilvl="6" w:tplc="0424000F" w:tentative="1">
      <w:start w:val="1"/>
      <w:numFmt w:val="decimal"/>
      <w:lvlText w:val="%7."/>
      <w:lvlJc w:val="left"/>
      <w:pPr>
        <w:tabs>
          <w:tab w:val="num" w:pos="4643"/>
        </w:tabs>
        <w:ind w:left="4643" w:hanging="360"/>
      </w:pPr>
    </w:lvl>
    <w:lvl w:ilvl="7" w:tplc="04240019" w:tentative="1">
      <w:start w:val="1"/>
      <w:numFmt w:val="lowerLetter"/>
      <w:lvlText w:val="%8."/>
      <w:lvlJc w:val="left"/>
      <w:pPr>
        <w:tabs>
          <w:tab w:val="num" w:pos="5363"/>
        </w:tabs>
        <w:ind w:left="5363" w:hanging="360"/>
      </w:pPr>
    </w:lvl>
    <w:lvl w:ilvl="8" w:tplc="0424001B" w:tentative="1">
      <w:start w:val="1"/>
      <w:numFmt w:val="lowerRoman"/>
      <w:lvlText w:val="%9."/>
      <w:lvlJc w:val="right"/>
      <w:pPr>
        <w:tabs>
          <w:tab w:val="num" w:pos="6083"/>
        </w:tabs>
        <w:ind w:left="6083" w:hanging="180"/>
      </w:pPr>
    </w:lvl>
  </w:abstractNum>
  <w:abstractNum w:abstractNumId="5" w15:restartNumberingAfterBreak="0">
    <w:nsid w:val="27A47094"/>
    <w:multiLevelType w:val="hybridMultilevel"/>
    <w:tmpl w:val="7F2678E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A91444C"/>
    <w:multiLevelType w:val="hybridMultilevel"/>
    <w:tmpl w:val="AAF860AE"/>
    <w:lvl w:ilvl="0" w:tplc="9968C782">
      <w:start w:val="49"/>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245429F"/>
    <w:multiLevelType w:val="hybridMultilevel"/>
    <w:tmpl w:val="0CE89154"/>
    <w:lvl w:ilvl="0" w:tplc="0424000F">
      <w:start w:val="1"/>
      <w:numFmt w:val="decimal"/>
      <w:lvlText w:val="%1."/>
      <w:lvlJc w:val="left"/>
      <w:pPr>
        <w:ind w:left="525" w:hanging="360"/>
      </w:pPr>
      <w:rPr>
        <w:rFonts w:hint="default"/>
      </w:rPr>
    </w:lvl>
    <w:lvl w:ilvl="1" w:tplc="04240019" w:tentative="1">
      <w:start w:val="1"/>
      <w:numFmt w:val="lowerLetter"/>
      <w:lvlText w:val="%2."/>
      <w:lvlJc w:val="left"/>
      <w:pPr>
        <w:ind w:left="1245" w:hanging="360"/>
      </w:pPr>
    </w:lvl>
    <w:lvl w:ilvl="2" w:tplc="0424001B" w:tentative="1">
      <w:start w:val="1"/>
      <w:numFmt w:val="lowerRoman"/>
      <w:lvlText w:val="%3."/>
      <w:lvlJc w:val="right"/>
      <w:pPr>
        <w:ind w:left="1965" w:hanging="180"/>
      </w:pPr>
    </w:lvl>
    <w:lvl w:ilvl="3" w:tplc="0424000F" w:tentative="1">
      <w:start w:val="1"/>
      <w:numFmt w:val="decimal"/>
      <w:lvlText w:val="%4."/>
      <w:lvlJc w:val="left"/>
      <w:pPr>
        <w:ind w:left="2685" w:hanging="360"/>
      </w:pPr>
    </w:lvl>
    <w:lvl w:ilvl="4" w:tplc="04240019" w:tentative="1">
      <w:start w:val="1"/>
      <w:numFmt w:val="lowerLetter"/>
      <w:lvlText w:val="%5."/>
      <w:lvlJc w:val="left"/>
      <w:pPr>
        <w:ind w:left="3405" w:hanging="360"/>
      </w:pPr>
    </w:lvl>
    <w:lvl w:ilvl="5" w:tplc="0424001B" w:tentative="1">
      <w:start w:val="1"/>
      <w:numFmt w:val="lowerRoman"/>
      <w:lvlText w:val="%6."/>
      <w:lvlJc w:val="right"/>
      <w:pPr>
        <w:ind w:left="4125" w:hanging="180"/>
      </w:pPr>
    </w:lvl>
    <w:lvl w:ilvl="6" w:tplc="0424000F" w:tentative="1">
      <w:start w:val="1"/>
      <w:numFmt w:val="decimal"/>
      <w:lvlText w:val="%7."/>
      <w:lvlJc w:val="left"/>
      <w:pPr>
        <w:ind w:left="4845" w:hanging="360"/>
      </w:pPr>
    </w:lvl>
    <w:lvl w:ilvl="7" w:tplc="04240019" w:tentative="1">
      <w:start w:val="1"/>
      <w:numFmt w:val="lowerLetter"/>
      <w:lvlText w:val="%8."/>
      <w:lvlJc w:val="left"/>
      <w:pPr>
        <w:ind w:left="5565" w:hanging="360"/>
      </w:pPr>
    </w:lvl>
    <w:lvl w:ilvl="8" w:tplc="0424001B" w:tentative="1">
      <w:start w:val="1"/>
      <w:numFmt w:val="lowerRoman"/>
      <w:lvlText w:val="%9."/>
      <w:lvlJc w:val="right"/>
      <w:pPr>
        <w:ind w:left="6285" w:hanging="180"/>
      </w:pPr>
    </w:lvl>
  </w:abstractNum>
  <w:abstractNum w:abstractNumId="8"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9" w15:restartNumberingAfterBreak="0">
    <w:nsid w:val="3BE624AC"/>
    <w:multiLevelType w:val="hybridMultilevel"/>
    <w:tmpl w:val="B3B22A10"/>
    <w:lvl w:ilvl="0" w:tplc="E618DFD4">
      <w:start w:val="1"/>
      <w:numFmt w:val="bullet"/>
      <w:lvlText w:val="‒"/>
      <w:lvlJc w:val="left"/>
      <w:pPr>
        <w:ind w:left="785" w:hanging="360"/>
      </w:pPr>
      <w:rPr>
        <w:rFonts w:ascii="Arial" w:hAnsi="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3596747"/>
    <w:multiLevelType w:val="hybridMultilevel"/>
    <w:tmpl w:val="AF84F2D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47BA732E"/>
    <w:multiLevelType w:val="hybridMultilevel"/>
    <w:tmpl w:val="0C72AF20"/>
    <w:lvl w:ilvl="0" w:tplc="9968C782">
      <w:start w:val="49"/>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DF8562A"/>
    <w:multiLevelType w:val="hybridMultilevel"/>
    <w:tmpl w:val="4A9CD37E"/>
    <w:lvl w:ilvl="0" w:tplc="3F668520">
      <w:start w:val="1"/>
      <w:numFmt w:val="lowerLetter"/>
      <w:lvlText w:val="%1)"/>
      <w:lvlJc w:val="left"/>
      <w:pPr>
        <w:ind w:left="525" w:hanging="360"/>
      </w:pPr>
      <w:rPr>
        <w:rFonts w:hint="default"/>
      </w:rPr>
    </w:lvl>
    <w:lvl w:ilvl="1" w:tplc="04240019" w:tentative="1">
      <w:start w:val="1"/>
      <w:numFmt w:val="lowerLetter"/>
      <w:lvlText w:val="%2."/>
      <w:lvlJc w:val="left"/>
      <w:pPr>
        <w:ind w:left="1245" w:hanging="360"/>
      </w:pPr>
    </w:lvl>
    <w:lvl w:ilvl="2" w:tplc="0424001B" w:tentative="1">
      <w:start w:val="1"/>
      <w:numFmt w:val="lowerRoman"/>
      <w:lvlText w:val="%3."/>
      <w:lvlJc w:val="right"/>
      <w:pPr>
        <w:ind w:left="1965" w:hanging="180"/>
      </w:pPr>
    </w:lvl>
    <w:lvl w:ilvl="3" w:tplc="0424000F" w:tentative="1">
      <w:start w:val="1"/>
      <w:numFmt w:val="decimal"/>
      <w:lvlText w:val="%4."/>
      <w:lvlJc w:val="left"/>
      <w:pPr>
        <w:ind w:left="2685" w:hanging="360"/>
      </w:pPr>
    </w:lvl>
    <w:lvl w:ilvl="4" w:tplc="04240019" w:tentative="1">
      <w:start w:val="1"/>
      <w:numFmt w:val="lowerLetter"/>
      <w:lvlText w:val="%5."/>
      <w:lvlJc w:val="left"/>
      <w:pPr>
        <w:ind w:left="3405" w:hanging="360"/>
      </w:pPr>
    </w:lvl>
    <w:lvl w:ilvl="5" w:tplc="0424001B" w:tentative="1">
      <w:start w:val="1"/>
      <w:numFmt w:val="lowerRoman"/>
      <w:lvlText w:val="%6."/>
      <w:lvlJc w:val="right"/>
      <w:pPr>
        <w:ind w:left="4125" w:hanging="180"/>
      </w:pPr>
    </w:lvl>
    <w:lvl w:ilvl="6" w:tplc="0424000F" w:tentative="1">
      <w:start w:val="1"/>
      <w:numFmt w:val="decimal"/>
      <w:lvlText w:val="%7."/>
      <w:lvlJc w:val="left"/>
      <w:pPr>
        <w:ind w:left="4845" w:hanging="360"/>
      </w:pPr>
    </w:lvl>
    <w:lvl w:ilvl="7" w:tplc="04240019" w:tentative="1">
      <w:start w:val="1"/>
      <w:numFmt w:val="lowerLetter"/>
      <w:lvlText w:val="%8."/>
      <w:lvlJc w:val="left"/>
      <w:pPr>
        <w:ind w:left="5565" w:hanging="360"/>
      </w:pPr>
    </w:lvl>
    <w:lvl w:ilvl="8" w:tplc="0424001B" w:tentative="1">
      <w:start w:val="1"/>
      <w:numFmt w:val="lowerRoman"/>
      <w:lvlText w:val="%9."/>
      <w:lvlJc w:val="right"/>
      <w:pPr>
        <w:ind w:left="6285" w:hanging="180"/>
      </w:pPr>
    </w:lvl>
  </w:abstractNum>
  <w:abstractNum w:abstractNumId="13" w15:restartNumberingAfterBreak="0">
    <w:nsid w:val="4E473721"/>
    <w:multiLevelType w:val="hybridMultilevel"/>
    <w:tmpl w:val="9650051C"/>
    <w:lvl w:ilvl="0" w:tplc="6BB21740">
      <w:start w:val="1"/>
      <w:numFmt w:val="bullet"/>
      <w:pStyle w:val="Natevanje"/>
      <w:lvlText w:val=""/>
      <w:lvlJc w:val="left"/>
      <w:pPr>
        <w:ind w:left="960" w:hanging="60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5579532B"/>
    <w:multiLevelType w:val="hybridMultilevel"/>
    <w:tmpl w:val="EF1818A0"/>
    <w:lvl w:ilvl="0" w:tplc="7FC671BA">
      <w:start w:val="1"/>
      <w:numFmt w:val="decimal"/>
      <w:pStyle w:val="OdstavektevilkaZIV"/>
      <w:lvlText w:val="(%1)"/>
      <w:lvlJc w:val="left"/>
      <w:pPr>
        <w:ind w:left="360" w:hanging="360"/>
      </w:pPr>
      <w:rPr>
        <w:rFonts w:hint="default"/>
        <w:strike w:val="0"/>
      </w:rPr>
    </w:lvl>
    <w:lvl w:ilvl="1" w:tplc="7A72EA7A">
      <w:start w:val="1"/>
      <w:numFmt w:val="bullet"/>
      <w:lvlText w:val="-"/>
      <w:lvlJc w:val="left"/>
      <w:pPr>
        <w:ind w:left="1080" w:hanging="360"/>
      </w:pPr>
      <w:rPr>
        <w:rFonts w:ascii="Sitka Small" w:hAnsi="Sitka Small" w:hint="default"/>
      </w:rPr>
    </w:lvl>
    <w:lvl w:ilvl="2" w:tplc="0000001B" w:tentative="1">
      <w:start w:val="1"/>
      <w:numFmt w:val="lowerRoman"/>
      <w:lvlText w:val="%3."/>
      <w:lvlJc w:val="right"/>
      <w:pPr>
        <w:ind w:left="1800" w:hanging="180"/>
      </w:pPr>
    </w:lvl>
    <w:lvl w:ilvl="3" w:tplc="0000000F">
      <w:start w:val="1"/>
      <w:numFmt w:val="decimal"/>
      <w:lvlText w:val="%4."/>
      <w:lvlJc w:val="left"/>
      <w:pPr>
        <w:ind w:left="2520" w:hanging="360"/>
      </w:pPr>
    </w:lvl>
    <w:lvl w:ilvl="4" w:tplc="00000019" w:tentative="1">
      <w:start w:val="1"/>
      <w:numFmt w:val="lowerLetter"/>
      <w:lvlText w:val="%5."/>
      <w:lvlJc w:val="left"/>
      <w:pPr>
        <w:ind w:left="3240" w:hanging="360"/>
      </w:pPr>
    </w:lvl>
    <w:lvl w:ilvl="5" w:tplc="0000001B" w:tentative="1">
      <w:start w:val="1"/>
      <w:numFmt w:val="lowerRoman"/>
      <w:lvlText w:val="%6."/>
      <w:lvlJc w:val="right"/>
      <w:pPr>
        <w:ind w:left="3960" w:hanging="180"/>
      </w:pPr>
    </w:lvl>
    <w:lvl w:ilvl="6" w:tplc="0000000F" w:tentative="1">
      <w:start w:val="1"/>
      <w:numFmt w:val="decimal"/>
      <w:lvlText w:val="%7."/>
      <w:lvlJc w:val="left"/>
      <w:pPr>
        <w:ind w:left="4680" w:hanging="360"/>
      </w:pPr>
    </w:lvl>
    <w:lvl w:ilvl="7" w:tplc="00000019" w:tentative="1">
      <w:start w:val="1"/>
      <w:numFmt w:val="lowerLetter"/>
      <w:lvlText w:val="%8."/>
      <w:lvlJc w:val="left"/>
      <w:pPr>
        <w:ind w:left="5400" w:hanging="360"/>
      </w:pPr>
    </w:lvl>
    <w:lvl w:ilvl="8" w:tplc="0000001B" w:tentative="1">
      <w:start w:val="1"/>
      <w:numFmt w:val="lowerRoman"/>
      <w:lvlText w:val="%9."/>
      <w:lvlJc w:val="right"/>
      <w:pPr>
        <w:ind w:left="6120" w:hanging="180"/>
      </w:pPr>
    </w:lvl>
  </w:abstractNum>
  <w:abstractNum w:abstractNumId="15" w15:restartNumberingAfterBreak="0">
    <w:nsid w:val="5D5971C9"/>
    <w:multiLevelType w:val="hybridMultilevel"/>
    <w:tmpl w:val="4BDEFCA6"/>
    <w:lvl w:ilvl="0" w:tplc="9FC8510E">
      <w:start w:val="1"/>
      <w:numFmt w:val="decimal"/>
      <w:pStyle w:val="NIS2len"/>
      <w:lvlText w:val="%1."/>
      <w:lvlJc w:val="left"/>
      <w:pPr>
        <w:ind w:left="4188"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5F4B191E"/>
    <w:multiLevelType w:val="hybridMultilevel"/>
    <w:tmpl w:val="855CA6B0"/>
    <w:lvl w:ilvl="0" w:tplc="7A72EA7A">
      <w:start w:val="1"/>
      <w:numFmt w:val="bullet"/>
      <w:lvlText w:val="-"/>
      <w:lvlJc w:val="left"/>
      <w:pPr>
        <w:ind w:left="720" w:hanging="360"/>
      </w:pPr>
      <w:rPr>
        <w:rFonts w:ascii="Sitka Small" w:hAnsi="Sitka Small" w:hint="default"/>
      </w:rPr>
    </w:lvl>
    <w:lvl w:ilvl="1" w:tplc="7A72EA7A">
      <w:start w:val="1"/>
      <w:numFmt w:val="bullet"/>
      <w:lvlText w:val="-"/>
      <w:lvlJc w:val="left"/>
      <w:pPr>
        <w:ind w:left="1440" w:hanging="360"/>
      </w:pPr>
      <w:rPr>
        <w:rFonts w:ascii="Sitka Small" w:hAnsi="Sitka Small" w:hint="default"/>
      </w:rPr>
    </w:lvl>
    <w:lvl w:ilvl="2" w:tplc="0000001B">
      <w:start w:val="1"/>
      <w:numFmt w:val="lowerRoman"/>
      <w:lvlText w:val="%3."/>
      <w:lvlJc w:val="right"/>
      <w:pPr>
        <w:ind w:left="2160" w:hanging="180"/>
      </w:pPr>
    </w:lvl>
    <w:lvl w:ilvl="3" w:tplc="0000000F">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17" w15:restartNumberingAfterBreak="0">
    <w:nsid w:val="5FDD5CD6"/>
    <w:multiLevelType w:val="hybridMultilevel"/>
    <w:tmpl w:val="89B2E8F2"/>
    <w:lvl w:ilvl="0" w:tplc="E33AA7CE">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hint="default"/>
      </w:rPr>
    </w:lvl>
    <w:lvl w:ilvl="1" w:tplc="E33AA7CE">
      <w:numFmt w:val="bullet"/>
      <w:lvlText w:val="-"/>
      <w:lvlJc w:val="left"/>
      <w:pPr>
        <w:ind w:left="1440" w:hanging="360"/>
      </w:pPr>
      <w:rPr>
        <w:rFonts w:ascii="Arial" w:eastAsia="Times New Roman" w:hAnsi="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A0C1B5F"/>
    <w:multiLevelType w:val="hybridMultilevel"/>
    <w:tmpl w:val="6754913C"/>
    <w:lvl w:ilvl="0" w:tplc="E33AA7CE">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A187845"/>
    <w:multiLevelType w:val="multilevel"/>
    <w:tmpl w:val="8B584BCC"/>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6B3F304D"/>
    <w:multiLevelType w:val="hybridMultilevel"/>
    <w:tmpl w:val="7F2678E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4083366"/>
    <w:multiLevelType w:val="hybridMultilevel"/>
    <w:tmpl w:val="0BF40E4E"/>
    <w:lvl w:ilvl="0" w:tplc="9DB6CCD6">
      <w:start w:val="1"/>
      <w:numFmt w:val="bullet"/>
      <w:lvlText w:val=""/>
      <w:lvlJc w:val="left"/>
      <w:pPr>
        <w:ind w:left="885" w:hanging="360"/>
      </w:pPr>
      <w:rPr>
        <w:rFonts w:ascii="Symbol" w:hAnsi="Symbol" w:hint="default"/>
      </w:rPr>
    </w:lvl>
    <w:lvl w:ilvl="1" w:tplc="04240003" w:tentative="1">
      <w:start w:val="1"/>
      <w:numFmt w:val="bullet"/>
      <w:lvlText w:val="o"/>
      <w:lvlJc w:val="left"/>
      <w:pPr>
        <w:ind w:left="1605" w:hanging="360"/>
      </w:pPr>
      <w:rPr>
        <w:rFonts w:ascii="Courier New" w:hAnsi="Courier New" w:cs="Courier New" w:hint="default"/>
      </w:rPr>
    </w:lvl>
    <w:lvl w:ilvl="2" w:tplc="04240005" w:tentative="1">
      <w:start w:val="1"/>
      <w:numFmt w:val="bullet"/>
      <w:lvlText w:val=""/>
      <w:lvlJc w:val="left"/>
      <w:pPr>
        <w:ind w:left="2325" w:hanging="360"/>
      </w:pPr>
      <w:rPr>
        <w:rFonts w:ascii="Wingdings" w:hAnsi="Wingdings" w:hint="default"/>
      </w:rPr>
    </w:lvl>
    <w:lvl w:ilvl="3" w:tplc="04240001" w:tentative="1">
      <w:start w:val="1"/>
      <w:numFmt w:val="bullet"/>
      <w:lvlText w:val=""/>
      <w:lvlJc w:val="left"/>
      <w:pPr>
        <w:ind w:left="3045" w:hanging="360"/>
      </w:pPr>
      <w:rPr>
        <w:rFonts w:ascii="Symbol" w:hAnsi="Symbol" w:hint="default"/>
      </w:rPr>
    </w:lvl>
    <w:lvl w:ilvl="4" w:tplc="04240003" w:tentative="1">
      <w:start w:val="1"/>
      <w:numFmt w:val="bullet"/>
      <w:lvlText w:val="o"/>
      <w:lvlJc w:val="left"/>
      <w:pPr>
        <w:ind w:left="3765" w:hanging="360"/>
      </w:pPr>
      <w:rPr>
        <w:rFonts w:ascii="Courier New" w:hAnsi="Courier New" w:cs="Courier New" w:hint="default"/>
      </w:rPr>
    </w:lvl>
    <w:lvl w:ilvl="5" w:tplc="04240005" w:tentative="1">
      <w:start w:val="1"/>
      <w:numFmt w:val="bullet"/>
      <w:lvlText w:val=""/>
      <w:lvlJc w:val="left"/>
      <w:pPr>
        <w:ind w:left="4485" w:hanging="360"/>
      </w:pPr>
      <w:rPr>
        <w:rFonts w:ascii="Wingdings" w:hAnsi="Wingdings" w:hint="default"/>
      </w:rPr>
    </w:lvl>
    <w:lvl w:ilvl="6" w:tplc="04240001" w:tentative="1">
      <w:start w:val="1"/>
      <w:numFmt w:val="bullet"/>
      <w:lvlText w:val=""/>
      <w:lvlJc w:val="left"/>
      <w:pPr>
        <w:ind w:left="5205" w:hanging="360"/>
      </w:pPr>
      <w:rPr>
        <w:rFonts w:ascii="Symbol" w:hAnsi="Symbol" w:hint="default"/>
      </w:rPr>
    </w:lvl>
    <w:lvl w:ilvl="7" w:tplc="04240003" w:tentative="1">
      <w:start w:val="1"/>
      <w:numFmt w:val="bullet"/>
      <w:lvlText w:val="o"/>
      <w:lvlJc w:val="left"/>
      <w:pPr>
        <w:ind w:left="5925" w:hanging="360"/>
      </w:pPr>
      <w:rPr>
        <w:rFonts w:ascii="Courier New" w:hAnsi="Courier New" w:cs="Courier New" w:hint="default"/>
      </w:rPr>
    </w:lvl>
    <w:lvl w:ilvl="8" w:tplc="04240005" w:tentative="1">
      <w:start w:val="1"/>
      <w:numFmt w:val="bullet"/>
      <w:lvlText w:val=""/>
      <w:lvlJc w:val="left"/>
      <w:pPr>
        <w:ind w:left="6645" w:hanging="360"/>
      </w:pPr>
      <w:rPr>
        <w:rFonts w:ascii="Wingdings" w:hAnsi="Wingdings" w:hint="default"/>
      </w:rPr>
    </w:lvl>
  </w:abstractNum>
  <w:abstractNum w:abstractNumId="23" w15:restartNumberingAfterBreak="0">
    <w:nsid w:val="7B414D76"/>
    <w:multiLevelType w:val="hybridMultilevel"/>
    <w:tmpl w:val="B6CE8320"/>
    <w:lvl w:ilvl="0" w:tplc="04240017">
      <w:start w:val="2"/>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7EE863D8"/>
    <w:multiLevelType w:val="hybridMultilevel"/>
    <w:tmpl w:val="3BD0EA8A"/>
    <w:lvl w:ilvl="0" w:tplc="E33AA7CE">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7F390DA8"/>
    <w:multiLevelType w:val="hybridMultilevel"/>
    <w:tmpl w:val="13A622EE"/>
    <w:lvl w:ilvl="0" w:tplc="62E8E276">
      <w:start w:val="49"/>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703019421">
    <w:abstractNumId w:val="11"/>
  </w:num>
  <w:num w:numId="2" w16cid:durableId="224877103">
    <w:abstractNumId w:val="1"/>
  </w:num>
  <w:num w:numId="3" w16cid:durableId="471873849">
    <w:abstractNumId w:val="2"/>
  </w:num>
  <w:num w:numId="4" w16cid:durableId="1543516361">
    <w:abstractNumId w:val="18"/>
  </w:num>
  <w:num w:numId="5" w16cid:durableId="860242460">
    <w:abstractNumId w:val="25"/>
  </w:num>
  <w:num w:numId="6" w16cid:durableId="463082112">
    <w:abstractNumId w:val="19"/>
  </w:num>
  <w:num w:numId="7" w16cid:durableId="2119711762">
    <w:abstractNumId w:val="17"/>
  </w:num>
  <w:num w:numId="8" w16cid:durableId="1412120814">
    <w:abstractNumId w:val="13"/>
  </w:num>
  <w:num w:numId="9" w16cid:durableId="1081878426">
    <w:abstractNumId w:val="9"/>
  </w:num>
  <w:num w:numId="10" w16cid:durableId="1113130648">
    <w:abstractNumId w:val="4"/>
  </w:num>
  <w:num w:numId="11" w16cid:durableId="1266772881">
    <w:abstractNumId w:val="10"/>
  </w:num>
  <w:num w:numId="12" w16cid:durableId="324211238">
    <w:abstractNumId w:val="6"/>
  </w:num>
  <w:num w:numId="13" w16cid:durableId="1348218439">
    <w:abstractNumId w:val="22"/>
  </w:num>
  <w:num w:numId="14" w16cid:durableId="341199029">
    <w:abstractNumId w:val="16"/>
  </w:num>
  <w:num w:numId="15" w16cid:durableId="387191359">
    <w:abstractNumId w:val="8"/>
    <w:lvlOverride w:ilvl="0">
      <w:startOverride w:val="1"/>
    </w:lvlOverride>
  </w:num>
  <w:num w:numId="16" w16cid:durableId="1326855660">
    <w:abstractNumId w:val="14"/>
  </w:num>
  <w:num w:numId="17" w16cid:durableId="1736008645">
    <w:abstractNumId w:val="20"/>
  </w:num>
  <w:num w:numId="18" w16cid:durableId="1096560831">
    <w:abstractNumId w:val="7"/>
  </w:num>
  <w:num w:numId="19" w16cid:durableId="1992633665">
    <w:abstractNumId w:val="5"/>
  </w:num>
  <w:num w:numId="20" w16cid:durableId="276717670">
    <w:abstractNumId w:val="24"/>
  </w:num>
  <w:num w:numId="21" w16cid:durableId="594705724">
    <w:abstractNumId w:val="12"/>
  </w:num>
  <w:num w:numId="22" w16cid:durableId="559632628">
    <w:abstractNumId w:val="23"/>
  </w:num>
  <w:num w:numId="23" w16cid:durableId="2112316851">
    <w:abstractNumId w:val="3"/>
  </w:num>
  <w:num w:numId="24" w16cid:durableId="134027788">
    <w:abstractNumId w:val="15"/>
  </w:num>
  <w:num w:numId="25" w16cid:durableId="1815638017">
    <w:abstractNumId w:val="0"/>
  </w:num>
  <w:num w:numId="26" w16cid:durableId="1049887582">
    <w:abstractNumId w:val="2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79873">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99D"/>
    <w:rsid w:val="00001564"/>
    <w:rsid w:val="000039A6"/>
    <w:rsid w:val="0000570C"/>
    <w:rsid w:val="000102AB"/>
    <w:rsid w:val="00015676"/>
    <w:rsid w:val="00020BEC"/>
    <w:rsid w:val="00022058"/>
    <w:rsid w:val="00023A88"/>
    <w:rsid w:val="000313F1"/>
    <w:rsid w:val="00032E7F"/>
    <w:rsid w:val="00042176"/>
    <w:rsid w:val="000454A1"/>
    <w:rsid w:val="0005759C"/>
    <w:rsid w:val="0006147D"/>
    <w:rsid w:val="00064146"/>
    <w:rsid w:val="00071702"/>
    <w:rsid w:val="00073008"/>
    <w:rsid w:val="00076932"/>
    <w:rsid w:val="00080176"/>
    <w:rsid w:val="00081004"/>
    <w:rsid w:val="00083E70"/>
    <w:rsid w:val="00084004"/>
    <w:rsid w:val="00085854"/>
    <w:rsid w:val="00087FB4"/>
    <w:rsid w:val="0009123D"/>
    <w:rsid w:val="000929F6"/>
    <w:rsid w:val="000968FA"/>
    <w:rsid w:val="000977D7"/>
    <w:rsid w:val="000A2A31"/>
    <w:rsid w:val="000A327F"/>
    <w:rsid w:val="000A6401"/>
    <w:rsid w:val="000A7238"/>
    <w:rsid w:val="000B04B5"/>
    <w:rsid w:val="000C0E49"/>
    <w:rsid w:val="000C5CB7"/>
    <w:rsid w:val="000D049E"/>
    <w:rsid w:val="000D299D"/>
    <w:rsid w:val="000D2B7E"/>
    <w:rsid w:val="000D2E1B"/>
    <w:rsid w:val="000D3DDA"/>
    <w:rsid w:val="000D7C79"/>
    <w:rsid w:val="000D7DE0"/>
    <w:rsid w:val="000E024D"/>
    <w:rsid w:val="000E1055"/>
    <w:rsid w:val="000E631A"/>
    <w:rsid w:val="000F2D3B"/>
    <w:rsid w:val="000F4403"/>
    <w:rsid w:val="00100DCD"/>
    <w:rsid w:val="00104017"/>
    <w:rsid w:val="0010424A"/>
    <w:rsid w:val="00107E02"/>
    <w:rsid w:val="00112D12"/>
    <w:rsid w:val="00113B73"/>
    <w:rsid w:val="001171F8"/>
    <w:rsid w:val="00122896"/>
    <w:rsid w:val="001243EC"/>
    <w:rsid w:val="00126A13"/>
    <w:rsid w:val="00127B86"/>
    <w:rsid w:val="00130E8D"/>
    <w:rsid w:val="00131ADC"/>
    <w:rsid w:val="001357B2"/>
    <w:rsid w:val="0013799D"/>
    <w:rsid w:val="00141F19"/>
    <w:rsid w:val="00145420"/>
    <w:rsid w:val="001462F5"/>
    <w:rsid w:val="00150431"/>
    <w:rsid w:val="00151354"/>
    <w:rsid w:val="00152628"/>
    <w:rsid w:val="0015325B"/>
    <w:rsid w:val="00160B6E"/>
    <w:rsid w:val="00162821"/>
    <w:rsid w:val="0016369A"/>
    <w:rsid w:val="00163F79"/>
    <w:rsid w:val="00164064"/>
    <w:rsid w:val="001650B7"/>
    <w:rsid w:val="00166E92"/>
    <w:rsid w:val="00167743"/>
    <w:rsid w:val="001723C4"/>
    <w:rsid w:val="00173EE5"/>
    <w:rsid w:val="0017478F"/>
    <w:rsid w:val="00176849"/>
    <w:rsid w:val="00180E1F"/>
    <w:rsid w:val="00182D72"/>
    <w:rsid w:val="00182F50"/>
    <w:rsid w:val="00184B8E"/>
    <w:rsid w:val="00185059"/>
    <w:rsid w:val="00186D89"/>
    <w:rsid w:val="00192D96"/>
    <w:rsid w:val="001A7019"/>
    <w:rsid w:val="001B10FE"/>
    <w:rsid w:val="001B1719"/>
    <w:rsid w:val="001B3F20"/>
    <w:rsid w:val="001C2453"/>
    <w:rsid w:val="001C74A1"/>
    <w:rsid w:val="001D2148"/>
    <w:rsid w:val="001D2BD9"/>
    <w:rsid w:val="001D7111"/>
    <w:rsid w:val="001E6A32"/>
    <w:rsid w:val="001F062C"/>
    <w:rsid w:val="001F2E75"/>
    <w:rsid w:val="001F4043"/>
    <w:rsid w:val="001F4280"/>
    <w:rsid w:val="001F5CB1"/>
    <w:rsid w:val="001F74C0"/>
    <w:rsid w:val="00201DF0"/>
    <w:rsid w:val="00202A77"/>
    <w:rsid w:val="00206FC2"/>
    <w:rsid w:val="0020752C"/>
    <w:rsid w:val="00210C48"/>
    <w:rsid w:val="00210D12"/>
    <w:rsid w:val="00220292"/>
    <w:rsid w:val="00220684"/>
    <w:rsid w:val="00220F4A"/>
    <w:rsid w:val="00221A06"/>
    <w:rsid w:val="00221B5E"/>
    <w:rsid w:val="00224821"/>
    <w:rsid w:val="0022520C"/>
    <w:rsid w:val="002255EF"/>
    <w:rsid w:val="0022575A"/>
    <w:rsid w:val="002343D0"/>
    <w:rsid w:val="00235E9F"/>
    <w:rsid w:val="00236C85"/>
    <w:rsid w:val="00237D9E"/>
    <w:rsid w:val="00244FD7"/>
    <w:rsid w:val="00246C89"/>
    <w:rsid w:val="00250920"/>
    <w:rsid w:val="002534AC"/>
    <w:rsid w:val="00255968"/>
    <w:rsid w:val="00266A97"/>
    <w:rsid w:val="00267E56"/>
    <w:rsid w:val="0027068B"/>
    <w:rsid w:val="00271CE5"/>
    <w:rsid w:val="00280465"/>
    <w:rsid w:val="0028146F"/>
    <w:rsid w:val="00282020"/>
    <w:rsid w:val="00285E83"/>
    <w:rsid w:val="00297550"/>
    <w:rsid w:val="002A0A07"/>
    <w:rsid w:val="002A1245"/>
    <w:rsid w:val="002A212E"/>
    <w:rsid w:val="002A2732"/>
    <w:rsid w:val="002A2B69"/>
    <w:rsid w:val="002A30DA"/>
    <w:rsid w:val="002A3482"/>
    <w:rsid w:val="002A464B"/>
    <w:rsid w:val="002A5530"/>
    <w:rsid w:val="002A5F4F"/>
    <w:rsid w:val="002B3D6E"/>
    <w:rsid w:val="002C2321"/>
    <w:rsid w:val="002C4011"/>
    <w:rsid w:val="002C5233"/>
    <w:rsid w:val="002D3F4F"/>
    <w:rsid w:val="002D4044"/>
    <w:rsid w:val="002D6005"/>
    <w:rsid w:val="002D7CAC"/>
    <w:rsid w:val="002E341B"/>
    <w:rsid w:val="002E41CB"/>
    <w:rsid w:val="002E447A"/>
    <w:rsid w:val="002E4D99"/>
    <w:rsid w:val="002E59C1"/>
    <w:rsid w:val="002F0B00"/>
    <w:rsid w:val="0030071F"/>
    <w:rsid w:val="003012E3"/>
    <w:rsid w:val="00303645"/>
    <w:rsid w:val="0031093E"/>
    <w:rsid w:val="003154FF"/>
    <w:rsid w:val="00316988"/>
    <w:rsid w:val="00335AFC"/>
    <w:rsid w:val="00337122"/>
    <w:rsid w:val="00340314"/>
    <w:rsid w:val="00340608"/>
    <w:rsid w:val="00340792"/>
    <w:rsid w:val="0035044E"/>
    <w:rsid w:val="0035109A"/>
    <w:rsid w:val="00351FCB"/>
    <w:rsid w:val="00356DF8"/>
    <w:rsid w:val="00356FE6"/>
    <w:rsid w:val="003576CB"/>
    <w:rsid w:val="00360616"/>
    <w:rsid w:val="003636BF"/>
    <w:rsid w:val="00364F37"/>
    <w:rsid w:val="00365BDD"/>
    <w:rsid w:val="00366BD2"/>
    <w:rsid w:val="00367D1F"/>
    <w:rsid w:val="00370BB3"/>
    <w:rsid w:val="00371442"/>
    <w:rsid w:val="00376E30"/>
    <w:rsid w:val="003824B7"/>
    <w:rsid w:val="0038259D"/>
    <w:rsid w:val="0038403B"/>
    <w:rsid w:val="003845B4"/>
    <w:rsid w:val="003865A2"/>
    <w:rsid w:val="00386EB5"/>
    <w:rsid w:val="003879EB"/>
    <w:rsid w:val="00387B1A"/>
    <w:rsid w:val="00387FAF"/>
    <w:rsid w:val="003947A0"/>
    <w:rsid w:val="003A5E80"/>
    <w:rsid w:val="003A7147"/>
    <w:rsid w:val="003B0B56"/>
    <w:rsid w:val="003B1ACB"/>
    <w:rsid w:val="003B2726"/>
    <w:rsid w:val="003B5162"/>
    <w:rsid w:val="003B64A0"/>
    <w:rsid w:val="003C295F"/>
    <w:rsid w:val="003C3BD4"/>
    <w:rsid w:val="003C42CC"/>
    <w:rsid w:val="003C5EE5"/>
    <w:rsid w:val="003C631B"/>
    <w:rsid w:val="003D50B1"/>
    <w:rsid w:val="003D65EB"/>
    <w:rsid w:val="003D7F9F"/>
    <w:rsid w:val="003E08A4"/>
    <w:rsid w:val="003E0F51"/>
    <w:rsid w:val="003E1C74"/>
    <w:rsid w:val="003E1CBD"/>
    <w:rsid w:val="003F14AF"/>
    <w:rsid w:val="003F16D5"/>
    <w:rsid w:val="00401022"/>
    <w:rsid w:val="00402634"/>
    <w:rsid w:val="004033BE"/>
    <w:rsid w:val="00405BEB"/>
    <w:rsid w:val="004104CB"/>
    <w:rsid w:val="00413CB3"/>
    <w:rsid w:val="0041494D"/>
    <w:rsid w:val="00415FF6"/>
    <w:rsid w:val="00417EFB"/>
    <w:rsid w:val="00420D5D"/>
    <w:rsid w:val="00424FF5"/>
    <w:rsid w:val="004304CA"/>
    <w:rsid w:val="00434719"/>
    <w:rsid w:val="0043609A"/>
    <w:rsid w:val="0044126A"/>
    <w:rsid w:val="00441EFF"/>
    <w:rsid w:val="00442EAC"/>
    <w:rsid w:val="0044433A"/>
    <w:rsid w:val="00444474"/>
    <w:rsid w:val="00446536"/>
    <w:rsid w:val="004470A8"/>
    <w:rsid w:val="00450314"/>
    <w:rsid w:val="004556B3"/>
    <w:rsid w:val="0045640E"/>
    <w:rsid w:val="004569E7"/>
    <w:rsid w:val="00456A3F"/>
    <w:rsid w:val="00457346"/>
    <w:rsid w:val="00457E55"/>
    <w:rsid w:val="00457EB3"/>
    <w:rsid w:val="00461569"/>
    <w:rsid w:val="00462024"/>
    <w:rsid w:val="004657EE"/>
    <w:rsid w:val="00465857"/>
    <w:rsid w:val="004658F3"/>
    <w:rsid w:val="00467DFD"/>
    <w:rsid w:val="00472F78"/>
    <w:rsid w:val="00482319"/>
    <w:rsid w:val="00482FF5"/>
    <w:rsid w:val="00483DE8"/>
    <w:rsid w:val="00486E02"/>
    <w:rsid w:val="004901F5"/>
    <w:rsid w:val="00491584"/>
    <w:rsid w:val="00493669"/>
    <w:rsid w:val="004A36AA"/>
    <w:rsid w:val="004A784A"/>
    <w:rsid w:val="004B4A05"/>
    <w:rsid w:val="004C00F5"/>
    <w:rsid w:val="004C09F8"/>
    <w:rsid w:val="004C0F42"/>
    <w:rsid w:val="004C1228"/>
    <w:rsid w:val="004C1DC9"/>
    <w:rsid w:val="004C399D"/>
    <w:rsid w:val="004D2B39"/>
    <w:rsid w:val="004D4B25"/>
    <w:rsid w:val="004D69E2"/>
    <w:rsid w:val="004E06FC"/>
    <w:rsid w:val="004E2553"/>
    <w:rsid w:val="004E65D4"/>
    <w:rsid w:val="004E6FFA"/>
    <w:rsid w:val="004E7A14"/>
    <w:rsid w:val="004E7F71"/>
    <w:rsid w:val="004F18A6"/>
    <w:rsid w:val="004F29E3"/>
    <w:rsid w:val="004F3E67"/>
    <w:rsid w:val="004F7080"/>
    <w:rsid w:val="004F74A7"/>
    <w:rsid w:val="00502667"/>
    <w:rsid w:val="00502CB4"/>
    <w:rsid w:val="00506E4B"/>
    <w:rsid w:val="00506EC9"/>
    <w:rsid w:val="005132EC"/>
    <w:rsid w:val="00515A10"/>
    <w:rsid w:val="005201D5"/>
    <w:rsid w:val="005207C5"/>
    <w:rsid w:val="00526246"/>
    <w:rsid w:val="00530CB0"/>
    <w:rsid w:val="0053264D"/>
    <w:rsid w:val="00534E45"/>
    <w:rsid w:val="0053693D"/>
    <w:rsid w:val="00537E5D"/>
    <w:rsid w:val="00540D02"/>
    <w:rsid w:val="00545008"/>
    <w:rsid w:val="00545B7C"/>
    <w:rsid w:val="005465D2"/>
    <w:rsid w:val="005503B4"/>
    <w:rsid w:val="005552C1"/>
    <w:rsid w:val="00565585"/>
    <w:rsid w:val="00567106"/>
    <w:rsid w:val="00576715"/>
    <w:rsid w:val="005826D1"/>
    <w:rsid w:val="00582830"/>
    <w:rsid w:val="00582B53"/>
    <w:rsid w:val="00587E91"/>
    <w:rsid w:val="005902B1"/>
    <w:rsid w:val="005954B5"/>
    <w:rsid w:val="00596489"/>
    <w:rsid w:val="00597430"/>
    <w:rsid w:val="005A2B47"/>
    <w:rsid w:val="005A372E"/>
    <w:rsid w:val="005A7C7E"/>
    <w:rsid w:val="005B0DFE"/>
    <w:rsid w:val="005B59EA"/>
    <w:rsid w:val="005B6209"/>
    <w:rsid w:val="005C06D8"/>
    <w:rsid w:val="005C0AB9"/>
    <w:rsid w:val="005D1573"/>
    <w:rsid w:val="005D2CD2"/>
    <w:rsid w:val="005D6696"/>
    <w:rsid w:val="005D6D0D"/>
    <w:rsid w:val="005D7732"/>
    <w:rsid w:val="005E0B4E"/>
    <w:rsid w:val="005E14C0"/>
    <w:rsid w:val="005E1D3C"/>
    <w:rsid w:val="005E2035"/>
    <w:rsid w:val="005E21D4"/>
    <w:rsid w:val="005E5A6B"/>
    <w:rsid w:val="005E7652"/>
    <w:rsid w:val="005E7A57"/>
    <w:rsid w:val="005F3D79"/>
    <w:rsid w:val="005F574D"/>
    <w:rsid w:val="005F58A9"/>
    <w:rsid w:val="006007AA"/>
    <w:rsid w:val="00606E9D"/>
    <w:rsid w:val="0060716B"/>
    <w:rsid w:val="00613F58"/>
    <w:rsid w:val="0062365F"/>
    <w:rsid w:val="00624469"/>
    <w:rsid w:val="0062455C"/>
    <w:rsid w:val="00625AE6"/>
    <w:rsid w:val="00626D67"/>
    <w:rsid w:val="0063047B"/>
    <w:rsid w:val="00631786"/>
    <w:rsid w:val="00632253"/>
    <w:rsid w:val="006324D8"/>
    <w:rsid w:val="00642714"/>
    <w:rsid w:val="00644BD3"/>
    <w:rsid w:val="006455CE"/>
    <w:rsid w:val="00652DBF"/>
    <w:rsid w:val="006549A1"/>
    <w:rsid w:val="00655841"/>
    <w:rsid w:val="00655E20"/>
    <w:rsid w:val="00661777"/>
    <w:rsid w:val="00666763"/>
    <w:rsid w:val="006707E4"/>
    <w:rsid w:val="00671153"/>
    <w:rsid w:val="00672E05"/>
    <w:rsid w:val="00676A2F"/>
    <w:rsid w:val="0067773D"/>
    <w:rsid w:val="0068134A"/>
    <w:rsid w:val="0068630D"/>
    <w:rsid w:val="0068671F"/>
    <w:rsid w:val="00691600"/>
    <w:rsid w:val="006A4A65"/>
    <w:rsid w:val="006A6D5B"/>
    <w:rsid w:val="006A72F2"/>
    <w:rsid w:val="006B1BCE"/>
    <w:rsid w:val="006B1EF2"/>
    <w:rsid w:val="006B38A8"/>
    <w:rsid w:val="006B4D18"/>
    <w:rsid w:val="006C0D37"/>
    <w:rsid w:val="006C2078"/>
    <w:rsid w:val="006C3C02"/>
    <w:rsid w:val="006D1761"/>
    <w:rsid w:val="006E2D1F"/>
    <w:rsid w:val="006E6B09"/>
    <w:rsid w:val="006E72AE"/>
    <w:rsid w:val="006F2B77"/>
    <w:rsid w:val="006F2F7F"/>
    <w:rsid w:val="006F535C"/>
    <w:rsid w:val="00702C17"/>
    <w:rsid w:val="007115AE"/>
    <w:rsid w:val="00711FB9"/>
    <w:rsid w:val="007122D4"/>
    <w:rsid w:val="00712EB2"/>
    <w:rsid w:val="007204C9"/>
    <w:rsid w:val="00720DF2"/>
    <w:rsid w:val="00725BD6"/>
    <w:rsid w:val="00733017"/>
    <w:rsid w:val="00736E07"/>
    <w:rsid w:val="00737AAD"/>
    <w:rsid w:val="007411EA"/>
    <w:rsid w:val="00744D92"/>
    <w:rsid w:val="0074555B"/>
    <w:rsid w:val="0074677E"/>
    <w:rsid w:val="007468AA"/>
    <w:rsid w:val="00747711"/>
    <w:rsid w:val="0075270B"/>
    <w:rsid w:val="007530CB"/>
    <w:rsid w:val="00754AA6"/>
    <w:rsid w:val="007557D9"/>
    <w:rsid w:val="0076278C"/>
    <w:rsid w:val="0076425C"/>
    <w:rsid w:val="00764CC9"/>
    <w:rsid w:val="00765490"/>
    <w:rsid w:val="00771282"/>
    <w:rsid w:val="007742D1"/>
    <w:rsid w:val="00775B37"/>
    <w:rsid w:val="00775E0E"/>
    <w:rsid w:val="00775FBB"/>
    <w:rsid w:val="00776DF5"/>
    <w:rsid w:val="00783310"/>
    <w:rsid w:val="0079739A"/>
    <w:rsid w:val="00797A0A"/>
    <w:rsid w:val="007A1CD0"/>
    <w:rsid w:val="007A3541"/>
    <w:rsid w:val="007A4A6D"/>
    <w:rsid w:val="007A61C3"/>
    <w:rsid w:val="007A6F0C"/>
    <w:rsid w:val="007B062F"/>
    <w:rsid w:val="007B13CE"/>
    <w:rsid w:val="007B647D"/>
    <w:rsid w:val="007B761A"/>
    <w:rsid w:val="007C2A34"/>
    <w:rsid w:val="007C619B"/>
    <w:rsid w:val="007C7A98"/>
    <w:rsid w:val="007D1BCF"/>
    <w:rsid w:val="007D1FAC"/>
    <w:rsid w:val="007D4189"/>
    <w:rsid w:val="007D46C1"/>
    <w:rsid w:val="007D5E08"/>
    <w:rsid w:val="007D5FFB"/>
    <w:rsid w:val="007D75CF"/>
    <w:rsid w:val="007E0440"/>
    <w:rsid w:val="007E0570"/>
    <w:rsid w:val="007E354F"/>
    <w:rsid w:val="007E35E4"/>
    <w:rsid w:val="007E5BD5"/>
    <w:rsid w:val="007E6DC5"/>
    <w:rsid w:val="007E7900"/>
    <w:rsid w:val="007E7ADA"/>
    <w:rsid w:val="007E7C86"/>
    <w:rsid w:val="007E7D0A"/>
    <w:rsid w:val="007F0ED6"/>
    <w:rsid w:val="007F10AA"/>
    <w:rsid w:val="00801D8F"/>
    <w:rsid w:val="00804BB9"/>
    <w:rsid w:val="008068BF"/>
    <w:rsid w:val="008073CD"/>
    <w:rsid w:val="00813BF2"/>
    <w:rsid w:val="00822935"/>
    <w:rsid w:val="00822D06"/>
    <w:rsid w:val="00824446"/>
    <w:rsid w:val="00824B6A"/>
    <w:rsid w:val="008361CF"/>
    <w:rsid w:val="00843B36"/>
    <w:rsid w:val="0085173A"/>
    <w:rsid w:val="00851B73"/>
    <w:rsid w:val="008530DF"/>
    <w:rsid w:val="00853A1A"/>
    <w:rsid w:val="00854303"/>
    <w:rsid w:val="0085445B"/>
    <w:rsid w:val="00857B76"/>
    <w:rsid w:val="00861DA8"/>
    <w:rsid w:val="00863D8F"/>
    <w:rsid w:val="00866E80"/>
    <w:rsid w:val="00867A9E"/>
    <w:rsid w:val="00872406"/>
    <w:rsid w:val="0087585D"/>
    <w:rsid w:val="00877FFC"/>
    <w:rsid w:val="0088043C"/>
    <w:rsid w:val="00883FC6"/>
    <w:rsid w:val="00884889"/>
    <w:rsid w:val="00890396"/>
    <w:rsid w:val="008906C9"/>
    <w:rsid w:val="0089091D"/>
    <w:rsid w:val="00895B52"/>
    <w:rsid w:val="008A0CD8"/>
    <w:rsid w:val="008A37D6"/>
    <w:rsid w:val="008A4E93"/>
    <w:rsid w:val="008B1995"/>
    <w:rsid w:val="008B2C13"/>
    <w:rsid w:val="008B40E3"/>
    <w:rsid w:val="008B41E4"/>
    <w:rsid w:val="008C003C"/>
    <w:rsid w:val="008C0046"/>
    <w:rsid w:val="008C53AF"/>
    <w:rsid w:val="008C5738"/>
    <w:rsid w:val="008C5AF4"/>
    <w:rsid w:val="008C799D"/>
    <w:rsid w:val="008C7E11"/>
    <w:rsid w:val="008D04F0"/>
    <w:rsid w:val="008D14AB"/>
    <w:rsid w:val="008D3023"/>
    <w:rsid w:val="008D3EA4"/>
    <w:rsid w:val="008D48F5"/>
    <w:rsid w:val="008D4C6D"/>
    <w:rsid w:val="008D5482"/>
    <w:rsid w:val="008E0309"/>
    <w:rsid w:val="008E1909"/>
    <w:rsid w:val="008E21C4"/>
    <w:rsid w:val="008E59A3"/>
    <w:rsid w:val="008E65EB"/>
    <w:rsid w:val="008E77E4"/>
    <w:rsid w:val="008F3500"/>
    <w:rsid w:val="0090196B"/>
    <w:rsid w:val="00903735"/>
    <w:rsid w:val="00903F15"/>
    <w:rsid w:val="00906035"/>
    <w:rsid w:val="00911FD6"/>
    <w:rsid w:val="00915C0D"/>
    <w:rsid w:val="00917E9C"/>
    <w:rsid w:val="00920176"/>
    <w:rsid w:val="00922095"/>
    <w:rsid w:val="00922686"/>
    <w:rsid w:val="00924E3C"/>
    <w:rsid w:val="0093073B"/>
    <w:rsid w:val="0093144D"/>
    <w:rsid w:val="00931518"/>
    <w:rsid w:val="009322EE"/>
    <w:rsid w:val="009361F0"/>
    <w:rsid w:val="00936790"/>
    <w:rsid w:val="009377ED"/>
    <w:rsid w:val="00941D43"/>
    <w:rsid w:val="0094799E"/>
    <w:rsid w:val="0095352D"/>
    <w:rsid w:val="00960801"/>
    <w:rsid w:val="009612BB"/>
    <w:rsid w:val="009628DB"/>
    <w:rsid w:val="009723F4"/>
    <w:rsid w:val="0097419D"/>
    <w:rsid w:val="009748CF"/>
    <w:rsid w:val="00975634"/>
    <w:rsid w:val="00977796"/>
    <w:rsid w:val="00981EFA"/>
    <w:rsid w:val="00982277"/>
    <w:rsid w:val="00984783"/>
    <w:rsid w:val="0099437B"/>
    <w:rsid w:val="00995130"/>
    <w:rsid w:val="0099516B"/>
    <w:rsid w:val="009A0C5B"/>
    <w:rsid w:val="009A4894"/>
    <w:rsid w:val="009A5647"/>
    <w:rsid w:val="009A59A1"/>
    <w:rsid w:val="009B0369"/>
    <w:rsid w:val="009B3414"/>
    <w:rsid w:val="009B5779"/>
    <w:rsid w:val="009C0D82"/>
    <w:rsid w:val="009C3B93"/>
    <w:rsid w:val="009C740A"/>
    <w:rsid w:val="009C7D06"/>
    <w:rsid w:val="009C7FBB"/>
    <w:rsid w:val="009D14AB"/>
    <w:rsid w:val="009D182D"/>
    <w:rsid w:val="009D4763"/>
    <w:rsid w:val="009E0F34"/>
    <w:rsid w:val="009F0C96"/>
    <w:rsid w:val="009F3316"/>
    <w:rsid w:val="009F4889"/>
    <w:rsid w:val="009F5A0C"/>
    <w:rsid w:val="009F7A26"/>
    <w:rsid w:val="00A0154C"/>
    <w:rsid w:val="00A020C7"/>
    <w:rsid w:val="00A02CC4"/>
    <w:rsid w:val="00A125C5"/>
    <w:rsid w:val="00A239A1"/>
    <w:rsid w:val="00A23D5D"/>
    <w:rsid w:val="00A2451C"/>
    <w:rsid w:val="00A2556F"/>
    <w:rsid w:val="00A3126E"/>
    <w:rsid w:val="00A35DA7"/>
    <w:rsid w:val="00A437F7"/>
    <w:rsid w:val="00A50872"/>
    <w:rsid w:val="00A50D4F"/>
    <w:rsid w:val="00A5108B"/>
    <w:rsid w:val="00A52B28"/>
    <w:rsid w:val="00A5609C"/>
    <w:rsid w:val="00A6187C"/>
    <w:rsid w:val="00A63240"/>
    <w:rsid w:val="00A65EE7"/>
    <w:rsid w:val="00A70133"/>
    <w:rsid w:val="00A70987"/>
    <w:rsid w:val="00A71599"/>
    <w:rsid w:val="00A71D38"/>
    <w:rsid w:val="00A770A6"/>
    <w:rsid w:val="00A813B1"/>
    <w:rsid w:val="00A81635"/>
    <w:rsid w:val="00A81D74"/>
    <w:rsid w:val="00A8245E"/>
    <w:rsid w:val="00A83F07"/>
    <w:rsid w:val="00A8569B"/>
    <w:rsid w:val="00A877B5"/>
    <w:rsid w:val="00A91075"/>
    <w:rsid w:val="00A9324C"/>
    <w:rsid w:val="00A956E1"/>
    <w:rsid w:val="00A972B4"/>
    <w:rsid w:val="00AA0C2C"/>
    <w:rsid w:val="00AA0FB5"/>
    <w:rsid w:val="00AA442F"/>
    <w:rsid w:val="00AA7B0A"/>
    <w:rsid w:val="00AB02DF"/>
    <w:rsid w:val="00AB1BC5"/>
    <w:rsid w:val="00AB36C4"/>
    <w:rsid w:val="00AB4057"/>
    <w:rsid w:val="00AB5516"/>
    <w:rsid w:val="00AC32B2"/>
    <w:rsid w:val="00AC3B02"/>
    <w:rsid w:val="00AC429E"/>
    <w:rsid w:val="00AC6396"/>
    <w:rsid w:val="00AD1A7D"/>
    <w:rsid w:val="00AD1E9A"/>
    <w:rsid w:val="00AD217D"/>
    <w:rsid w:val="00AD3E6E"/>
    <w:rsid w:val="00AD67EA"/>
    <w:rsid w:val="00AE061D"/>
    <w:rsid w:val="00AE6CE3"/>
    <w:rsid w:val="00AE7DC7"/>
    <w:rsid w:val="00AF051B"/>
    <w:rsid w:val="00AF30D7"/>
    <w:rsid w:val="00AF7AD1"/>
    <w:rsid w:val="00B00CD7"/>
    <w:rsid w:val="00B02D93"/>
    <w:rsid w:val="00B05669"/>
    <w:rsid w:val="00B0571D"/>
    <w:rsid w:val="00B067CA"/>
    <w:rsid w:val="00B07953"/>
    <w:rsid w:val="00B10341"/>
    <w:rsid w:val="00B10404"/>
    <w:rsid w:val="00B128AC"/>
    <w:rsid w:val="00B152F3"/>
    <w:rsid w:val="00B16738"/>
    <w:rsid w:val="00B168B2"/>
    <w:rsid w:val="00B17141"/>
    <w:rsid w:val="00B21AF3"/>
    <w:rsid w:val="00B22A2E"/>
    <w:rsid w:val="00B2337A"/>
    <w:rsid w:val="00B249C1"/>
    <w:rsid w:val="00B24C29"/>
    <w:rsid w:val="00B30F2D"/>
    <w:rsid w:val="00B31575"/>
    <w:rsid w:val="00B31740"/>
    <w:rsid w:val="00B37766"/>
    <w:rsid w:val="00B41AA7"/>
    <w:rsid w:val="00B42256"/>
    <w:rsid w:val="00B4511E"/>
    <w:rsid w:val="00B525EA"/>
    <w:rsid w:val="00B52622"/>
    <w:rsid w:val="00B535C2"/>
    <w:rsid w:val="00B57A5D"/>
    <w:rsid w:val="00B60D56"/>
    <w:rsid w:val="00B672D5"/>
    <w:rsid w:val="00B71B39"/>
    <w:rsid w:val="00B72212"/>
    <w:rsid w:val="00B739B8"/>
    <w:rsid w:val="00B80989"/>
    <w:rsid w:val="00B81EE4"/>
    <w:rsid w:val="00B8305C"/>
    <w:rsid w:val="00B83FEC"/>
    <w:rsid w:val="00B8547D"/>
    <w:rsid w:val="00B901A4"/>
    <w:rsid w:val="00B92DB6"/>
    <w:rsid w:val="00B957A8"/>
    <w:rsid w:val="00B96F5F"/>
    <w:rsid w:val="00BA7BBC"/>
    <w:rsid w:val="00BB0604"/>
    <w:rsid w:val="00BB3423"/>
    <w:rsid w:val="00BB5848"/>
    <w:rsid w:val="00BB7ADC"/>
    <w:rsid w:val="00BC2943"/>
    <w:rsid w:val="00BE4057"/>
    <w:rsid w:val="00BE7BBC"/>
    <w:rsid w:val="00BF22DF"/>
    <w:rsid w:val="00BF2A2A"/>
    <w:rsid w:val="00BF4E2E"/>
    <w:rsid w:val="00C00550"/>
    <w:rsid w:val="00C023CC"/>
    <w:rsid w:val="00C0478B"/>
    <w:rsid w:val="00C103EE"/>
    <w:rsid w:val="00C1123B"/>
    <w:rsid w:val="00C11AB8"/>
    <w:rsid w:val="00C120B2"/>
    <w:rsid w:val="00C22B3C"/>
    <w:rsid w:val="00C237BE"/>
    <w:rsid w:val="00C250D5"/>
    <w:rsid w:val="00C26759"/>
    <w:rsid w:val="00C301D2"/>
    <w:rsid w:val="00C32DCE"/>
    <w:rsid w:val="00C35666"/>
    <w:rsid w:val="00C4257D"/>
    <w:rsid w:val="00C4496D"/>
    <w:rsid w:val="00C50CAB"/>
    <w:rsid w:val="00C5151B"/>
    <w:rsid w:val="00C516B5"/>
    <w:rsid w:val="00C6139C"/>
    <w:rsid w:val="00C62611"/>
    <w:rsid w:val="00C63668"/>
    <w:rsid w:val="00C66B4A"/>
    <w:rsid w:val="00C67657"/>
    <w:rsid w:val="00C710B8"/>
    <w:rsid w:val="00C71699"/>
    <w:rsid w:val="00C726BF"/>
    <w:rsid w:val="00C72D39"/>
    <w:rsid w:val="00C74D07"/>
    <w:rsid w:val="00C76ED6"/>
    <w:rsid w:val="00C7778E"/>
    <w:rsid w:val="00C82F39"/>
    <w:rsid w:val="00C8561F"/>
    <w:rsid w:val="00C90006"/>
    <w:rsid w:val="00C92898"/>
    <w:rsid w:val="00C9585F"/>
    <w:rsid w:val="00C9619C"/>
    <w:rsid w:val="00CA0AF6"/>
    <w:rsid w:val="00CA0C1F"/>
    <w:rsid w:val="00CA1E3A"/>
    <w:rsid w:val="00CA2A0B"/>
    <w:rsid w:val="00CA4340"/>
    <w:rsid w:val="00CA6444"/>
    <w:rsid w:val="00CA796B"/>
    <w:rsid w:val="00CB477D"/>
    <w:rsid w:val="00CB6128"/>
    <w:rsid w:val="00CB6B06"/>
    <w:rsid w:val="00CB71FE"/>
    <w:rsid w:val="00CC12DD"/>
    <w:rsid w:val="00CC140C"/>
    <w:rsid w:val="00CC1D13"/>
    <w:rsid w:val="00CC2642"/>
    <w:rsid w:val="00CC2FC0"/>
    <w:rsid w:val="00CC3A3E"/>
    <w:rsid w:val="00CC4CA8"/>
    <w:rsid w:val="00CC4EE8"/>
    <w:rsid w:val="00CC70EE"/>
    <w:rsid w:val="00CD5BD3"/>
    <w:rsid w:val="00CD71CA"/>
    <w:rsid w:val="00CE5238"/>
    <w:rsid w:val="00CE68EE"/>
    <w:rsid w:val="00CE6BE1"/>
    <w:rsid w:val="00CE6C65"/>
    <w:rsid w:val="00CE7514"/>
    <w:rsid w:val="00CF0492"/>
    <w:rsid w:val="00CF79B1"/>
    <w:rsid w:val="00CF7C44"/>
    <w:rsid w:val="00D00A79"/>
    <w:rsid w:val="00D0761B"/>
    <w:rsid w:val="00D07ABF"/>
    <w:rsid w:val="00D12832"/>
    <w:rsid w:val="00D13642"/>
    <w:rsid w:val="00D17A5E"/>
    <w:rsid w:val="00D202EA"/>
    <w:rsid w:val="00D239D2"/>
    <w:rsid w:val="00D248DE"/>
    <w:rsid w:val="00D32B30"/>
    <w:rsid w:val="00D36204"/>
    <w:rsid w:val="00D42DD2"/>
    <w:rsid w:val="00D454DE"/>
    <w:rsid w:val="00D4744F"/>
    <w:rsid w:val="00D5348A"/>
    <w:rsid w:val="00D61A9E"/>
    <w:rsid w:val="00D63897"/>
    <w:rsid w:val="00D65F6C"/>
    <w:rsid w:val="00D6695C"/>
    <w:rsid w:val="00D672A8"/>
    <w:rsid w:val="00D672B3"/>
    <w:rsid w:val="00D75186"/>
    <w:rsid w:val="00D753CD"/>
    <w:rsid w:val="00D76B7D"/>
    <w:rsid w:val="00D80389"/>
    <w:rsid w:val="00D829DE"/>
    <w:rsid w:val="00D852F6"/>
    <w:rsid w:val="00D8542D"/>
    <w:rsid w:val="00D86F07"/>
    <w:rsid w:val="00D90B1D"/>
    <w:rsid w:val="00D9152B"/>
    <w:rsid w:val="00D947EC"/>
    <w:rsid w:val="00D95087"/>
    <w:rsid w:val="00D9532E"/>
    <w:rsid w:val="00D96B39"/>
    <w:rsid w:val="00D97A53"/>
    <w:rsid w:val="00DA28DF"/>
    <w:rsid w:val="00DA5EFA"/>
    <w:rsid w:val="00DA613B"/>
    <w:rsid w:val="00DA6BF8"/>
    <w:rsid w:val="00DA7076"/>
    <w:rsid w:val="00DB477F"/>
    <w:rsid w:val="00DB4DAE"/>
    <w:rsid w:val="00DC1646"/>
    <w:rsid w:val="00DC1A6B"/>
    <w:rsid w:val="00DC371F"/>
    <w:rsid w:val="00DC39D0"/>
    <w:rsid w:val="00DC4756"/>
    <w:rsid w:val="00DC4E2D"/>
    <w:rsid w:val="00DC4FCF"/>
    <w:rsid w:val="00DC6A71"/>
    <w:rsid w:val="00DD552C"/>
    <w:rsid w:val="00DD684B"/>
    <w:rsid w:val="00DD7701"/>
    <w:rsid w:val="00DE036E"/>
    <w:rsid w:val="00DE14A5"/>
    <w:rsid w:val="00DE1E8F"/>
    <w:rsid w:val="00DE4FA7"/>
    <w:rsid w:val="00DE5A30"/>
    <w:rsid w:val="00DE645F"/>
    <w:rsid w:val="00DF0E87"/>
    <w:rsid w:val="00DF3A2A"/>
    <w:rsid w:val="00E0357D"/>
    <w:rsid w:val="00E0440C"/>
    <w:rsid w:val="00E101A5"/>
    <w:rsid w:val="00E10CBF"/>
    <w:rsid w:val="00E10ECA"/>
    <w:rsid w:val="00E120F2"/>
    <w:rsid w:val="00E124C9"/>
    <w:rsid w:val="00E1666F"/>
    <w:rsid w:val="00E20E43"/>
    <w:rsid w:val="00E232DE"/>
    <w:rsid w:val="00E23727"/>
    <w:rsid w:val="00E26A9D"/>
    <w:rsid w:val="00E2792F"/>
    <w:rsid w:val="00E27C23"/>
    <w:rsid w:val="00E3087B"/>
    <w:rsid w:val="00E30B5A"/>
    <w:rsid w:val="00E33354"/>
    <w:rsid w:val="00E3533E"/>
    <w:rsid w:val="00E37EE7"/>
    <w:rsid w:val="00E4263F"/>
    <w:rsid w:val="00E42DF8"/>
    <w:rsid w:val="00E46830"/>
    <w:rsid w:val="00E526DD"/>
    <w:rsid w:val="00E546E1"/>
    <w:rsid w:val="00E61516"/>
    <w:rsid w:val="00E64C7F"/>
    <w:rsid w:val="00E70609"/>
    <w:rsid w:val="00E714C8"/>
    <w:rsid w:val="00E7195F"/>
    <w:rsid w:val="00E7333E"/>
    <w:rsid w:val="00E746B4"/>
    <w:rsid w:val="00E74CF8"/>
    <w:rsid w:val="00E74F8B"/>
    <w:rsid w:val="00E75346"/>
    <w:rsid w:val="00E76A2E"/>
    <w:rsid w:val="00E8565D"/>
    <w:rsid w:val="00E87933"/>
    <w:rsid w:val="00E90275"/>
    <w:rsid w:val="00EA0413"/>
    <w:rsid w:val="00EA22C3"/>
    <w:rsid w:val="00EA4FB0"/>
    <w:rsid w:val="00EA6DEA"/>
    <w:rsid w:val="00EA7F82"/>
    <w:rsid w:val="00EB2B75"/>
    <w:rsid w:val="00EB3949"/>
    <w:rsid w:val="00EB41E2"/>
    <w:rsid w:val="00EB484A"/>
    <w:rsid w:val="00EB48C3"/>
    <w:rsid w:val="00EB7775"/>
    <w:rsid w:val="00EC12B7"/>
    <w:rsid w:val="00EC1C70"/>
    <w:rsid w:val="00EC4BB5"/>
    <w:rsid w:val="00EC61D4"/>
    <w:rsid w:val="00ED07BD"/>
    <w:rsid w:val="00ED1C3E"/>
    <w:rsid w:val="00ED5385"/>
    <w:rsid w:val="00ED560A"/>
    <w:rsid w:val="00ED6779"/>
    <w:rsid w:val="00ED7970"/>
    <w:rsid w:val="00EE08C0"/>
    <w:rsid w:val="00EE2BA2"/>
    <w:rsid w:val="00EE4ABC"/>
    <w:rsid w:val="00EE5923"/>
    <w:rsid w:val="00EF4064"/>
    <w:rsid w:val="00EF5C79"/>
    <w:rsid w:val="00EF70C8"/>
    <w:rsid w:val="00F02FEF"/>
    <w:rsid w:val="00F06644"/>
    <w:rsid w:val="00F10DDC"/>
    <w:rsid w:val="00F2338B"/>
    <w:rsid w:val="00F240BB"/>
    <w:rsid w:val="00F247ED"/>
    <w:rsid w:val="00F24A97"/>
    <w:rsid w:val="00F30794"/>
    <w:rsid w:val="00F32F93"/>
    <w:rsid w:val="00F35AFE"/>
    <w:rsid w:val="00F369DF"/>
    <w:rsid w:val="00F404F0"/>
    <w:rsid w:val="00F40754"/>
    <w:rsid w:val="00F4338C"/>
    <w:rsid w:val="00F447FD"/>
    <w:rsid w:val="00F47C91"/>
    <w:rsid w:val="00F5028D"/>
    <w:rsid w:val="00F53880"/>
    <w:rsid w:val="00F55010"/>
    <w:rsid w:val="00F571B9"/>
    <w:rsid w:val="00F57296"/>
    <w:rsid w:val="00F57FED"/>
    <w:rsid w:val="00F63BCC"/>
    <w:rsid w:val="00F64414"/>
    <w:rsid w:val="00F6491A"/>
    <w:rsid w:val="00F65697"/>
    <w:rsid w:val="00F65741"/>
    <w:rsid w:val="00F659E3"/>
    <w:rsid w:val="00F7184C"/>
    <w:rsid w:val="00F72510"/>
    <w:rsid w:val="00F72B7C"/>
    <w:rsid w:val="00F72E70"/>
    <w:rsid w:val="00F7506B"/>
    <w:rsid w:val="00F8019B"/>
    <w:rsid w:val="00F821E3"/>
    <w:rsid w:val="00F8474A"/>
    <w:rsid w:val="00F86055"/>
    <w:rsid w:val="00FA3F5C"/>
    <w:rsid w:val="00FA5DA6"/>
    <w:rsid w:val="00FA5E8F"/>
    <w:rsid w:val="00FA5FB8"/>
    <w:rsid w:val="00FB1718"/>
    <w:rsid w:val="00FB3929"/>
    <w:rsid w:val="00FB3E2F"/>
    <w:rsid w:val="00FB421C"/>
    <w:rsid w:val="00FB5B92"/>
    <w:rsid w:val="00FB65CA"/>
    <w:rsid w:val="00FC0586"/>
    <w:rsid w:val="00FC0B69"/>
    <w:rsid w:val="00FC23DB"/>
    <w:rsid w:val="00FC5552"/>
    <w:rsid w:val="00FD1C50"/>
    <w:rsid w:val="00FD20CD"/>
    <w:rsid w:val="00FD2A5B"/>
    <w:rsid w:val="00FD46FF"/>
    <w:rsid w:val="00FD5195"/>
    <w:rsid w:val="00FD7F71"/>
    <w:rsid w:val="00FE0194"/>
    <w:rsid w:val="00FF1CF1"/>
    <w:rsid w:val="00FF23EA"/>
    <w:rsid w:val="00FF348A"/>
    <w:rsid w:val="00FF459E"/>
    <w:rsid w:val="00FF4852"/>
    <w:rsid w:val="00FF6752"/>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colormru v:ext="edit" colors="#428299,#529dba"/>
    </o:shapedefaults>
    <o:shapelayout v:ext="edit">
      <o:idmap v:ext="edit" data="1"/>
    </o:shapelayout>
  </w:shapeDefaults>
  <w:doNotEmbedSmartTags/>
  <w:decimalSymbol w:val=","/>
  <w:listSeparator w:val=";"/>
  <w14:docId w14:val="3BE7B7A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C120B2"/>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semiHidden/>
    <w:unhideWhenUsed/>
    <w:rsid w:val="00B152F3"/>
    <w:pPr>
      <w:spacing w:line="240" w:lineRule="auto"/>
    </w:pPr>
    <w:rPr>
      <w:rFonts w:ascii="Segoe UI" w:hAnsi="Segoe UI" w:cs="Segoe UI"/>
      <w:sz w:val="18"/>
      <w:szCs w:val="18"/>
    </w:rPr>
  </w:style>
  <w:style w:type="character" w:customStyle="1" w:styleId="BesedilooblakaZnak">
    <w:name w:val="Besedilo oblačka Znak"/>
    <w:link w:val="Besedilooblaka"/>
    <w:semiHidden/>
    <w:rsid w:val="00B152F3"/>
    <w:rPr>
      <w:rFonts w:ascii="Segoe UI" w:hAnsi="Segoe UI" w:cs="Segoe UI"/>
      <w:sz w:val="18"/>
      <w:szCs w:val="18"/>
      <w:lang w:val="en-US" w:eastAsia="en-US"/>
    </w:rPr>
  </w:style>
  <w:style w:type="paragraph" w:styleId="Odstavekseznama">
    <w:name w:val="List Paragraph"/>
    <w:basedOn w:val="Navaden"/>
    <w:link w:val="OdstavekseznamaZnak"/>
    <w:uiPriority w:val="34"/>
    <w:qFormat/>
    <w:rsid w:val="00B152F3"/>
    <w:pPr>
      <w:ind w:left="720"/>
      <w:contextualSpacing/>
    </w:pPr>
  </w:style>
  <w:style w:type="numbering" w:customStyle="1" w:styleId="Brezseznama1">
    <w:name w:val="Brez seznama1"/>
    <w:next w:val="Brezseznama"/>
    <w:uiPriority w:val="99"/>
    <w:semiHidden/>
    <w:unhideWhenUsed/>
    <w:rsid w:val="00A23D5D"/>
  </w:style>
  <w:style w:type="paragraph" w:styleId="Sprotnaopomba-besedilo">
    <w:name w:val="footnote text"/>
    <w:basedOn w:val="Navaden"/>
    <w:link w:val="Sprotnaopomba-besediloZnak"/>
    <w:uiPriority w:val="99"/>
    <w:rsid w:val="00A23D5D"/>
    <w:pPr>
      <w:spacing w:line="240" w:lineRule="auto"/>
    </w:pPr>
    <w:rPr>
      <w:szCs w:val="20"/>
    </w:rPr>
  </w:style>
  <w:style w:type="character" w:customStyle="1" w:styleId="Sprotnaopomba-besediloZnak">
    <w:name w:val="Sprotna opomba - besedilo Znak"/>
    <w:link w:val="Sprotnaopomba-besedilo"/>
    <w:uiPriority w:val="99"/>
    <w:rsid w:val="00A23D5D"/>
    <w:rPr>
      <w:rFonts w:ascii="Arial" w:hAnsi="Arial"/>
      <w:lang w:val="en-US" w:eastAsia="en-US"/>
    </w:rPr>
  </w:style>
  <w:style w:type="character" w:styleId="Sprotnaopomba-sklic">
    <w:name w:val="footnote reference"/>
    <w:uiPriority w:val="99"/>
    <w:rsid w:val="00A23D5D"/>
    <w:rPr>
      <w:vertAlign w:val="superscript"/>
    </w:rPr>
  </w:style>
  <w:style w:type="paragraph" w:customStyle="1" w:styleId="Natevanje">
    <w:name w:val="Naštevanje"/>
    <w:basedOn w:val="Odstavekseznama"/>
    <w:link w:val="NatevanjeZnak"/>
    <w:qFormat/>
    <w:rsid w:val="00A23D5D"/>
    <w:pPr>
      <w:numPr>
        <w:numId w:val="8"/>
      </w:numPr>
      <w:spacing w:after="120" w:line="240" w:lineRule="auto"/>
      <w:contextualSpacing w:val="0"/>
      <w:jc w:val="both"/>
    </w:pPr>
    <w:rPr>
      <w:rFonts w:cs="Arial"/>
      <w:szCs w:val="20"/>
      <w:lang w:val="sl-SI"/>
    </w:rPr>
  </w:style>
  <w:style w:type="paragraph" w:customStyle="1" w:styleId="Odstavek">
    <w:name w:val="Odstavek"/>
    <w:basedOn w:val="Navaden"/>
    <w:link w:val="OdstavekZnak"/>
    <w:qFormat/>
    <w:rsid w:val="00A23D5D"/>
    <w:pPr>
      <w:spacing w:after="120" w:line="280" w:lineRule="exact"/>
      <w:jc w:val="both"/>
    </w:pPr>
    <w:rPr>
      <w:rFonts w:cs="Arial"/>
      <w:szCs w:val="20"/>
      <w:lang w:val="sl-SI"/>
    </w:rPr>
  </w:style>
  <w:style w:type="character" w:customStyle="1" w:styleId="NatevanjeZnak">
    <w:name w:val="Naštevanje Znak"/>
    <w:link w:val="Natevanje"/>
    <w:rsid w:val="00A23D5D"/>
    <w:rPr>
      <w:rFonts w:ascii="Arial" w:hAnsi="Arial" w:cs="Arial"/>
      <w:lang w:eastAsia="en-US"/>
    </w:rPr>
  </w:style>
  <w:style w:type="character" w:customStyle="1" w:styleId="OdstavekZnak">
    <w:name w:val="Odstavek Znak"/>
    <w:link w:val="Odstavek"/>
    <w:rsid w:val="00A23D5D"/>
    <w:rPr>
      <w:rFonts w:ascii="Arial" w:hAnsi="Arial" w:cs="Arial"/>
      <w:lang w:eastAsia="en-US"/>
    </w:rPr>
  </w:style>
  <w:style w:type="paragraph" w:customStyle="1" w:styleId="len">
    <w:name w:val="len"/>
    <w:basedOn w:val="Navaden"/>
    <w:rsid w:val="00A23D5D"/>
    <w:pPr>
      <w:spacing w:before="100" w:beforeAutospacing="1" w:after="100" w:afterAutospacing="1" w:line="240" w:lineRule="auto"/>
    </w:pPr>
    <w:rPr>
      <w:rFonts w:ascii="Times New Roman" w:hAnsi="Times New Roman"/>
      <w:sz w:val="24"/>
      <w:lang w:val="sl-SI" w:eastAsia="sl-SI"/>
    </w:rPr>
  </w:style>
  <w:style w:type="paragraph" w:customStyle="1" w:styleId="lennaslov">
    <w:name w:val="lennaslov"/>
    <w:basedOn w:val="Navaden"/>
    <w:rsid w:val="00A23D5D"/>
    <w:pPr>
      <w:spacing w:before="100" w:beforeAutospacing="1" w:after="100" w:afterAutospacing="1" w:line="240" w:lineRule="auto"/>
    </w:pPr>
    <w:rPr>
      <w:rFonts w:ascii="Times New Roman" w:hAnsi="Times New Roman"/>
      <w:sz w:val="24"/>
      <w:lang w:val="sl-SI" w:eastAsia="sl-SI"/>
    </w:rPr>
  </w:style>
  <w:style w:type="paragraph" w:customStyle="1" w:styleId="odstavek0">
    <w:name w:val="odstavek"/>
    <w:basedOn w:val="Navaden"/>
    <w:rsid w:val="00A23D5D"/>
    <w:pPr>
      <w:spacing w:before="100" w:beforeAutospacing="1" w:after="100" w:afterAutospacing="1" w:line="240" w:lineRule="auto"/>
    </w:pPr>
    <w:rPr>
      <w:rFonts w:ascii="Times New Roman" w:hAnsi="Times New Roman"/>
      <w:sz w:val="24"/>
      <w:lang w:val="sl-SI" w:eastAsia="sl-SI"/>
    </w:rPr>
  </w:style>
  <w:style w:type="paragraph" w:customStyle="1" w:styleId="tevilnatoka0">
    <w:name w:val="tevilnatoka"/>
    <w:basedOn w:val="Navaden"/>
    <w:rsid w:val="00A23D5D"/>
    <w:pPr>
      <w:spacing w:before="100" w:beforeAutospacing="1" w:after="100" w:afterAutospacing="1" w:line="240" w:lineRule="auto"/>
    </w:pPr>
    <w:rPr>
      <w:rFonts w:ascii="Times New Roman" w:hAnsi="Times New Roman"/>
      <w:sz w:val="24"/>
      <w:lang w:val="sl-SI" w:eastAsia="sl-SI"/>
    </w:rPr>
  </w:style>
  <w:style w:type="paragraph" w:customStyle="1" w:styleId="alineazaodstavkom0">
    <w:name w:val="alineazaodstavkom"/>
    <w:basedOn w:val="Navaden"/>
    <w:rsid w:val="00A23D5D"/>
    <w:pPr>
      <w:spacing w:before="100" w:beforeAutospacing="1" w:after="100" w:afterAutospacing="1" w:line="240" w:lineRule="auto"/>
    </w:pPr>
    <w:rPr>
      <w:rFonts w:ascii="Times New Roman" w:hAnsi="Times New Roman"/>
      <w:sz w:val="24"/>
      <w:lang w:val="sl-SI" w:eastAsia="sl-SI"/>
    </w:rPr>
  </w:style>
  <w:style w:type="character" w:styleId="Pripombasklic">
    <w:name w:val="annotation reference"/>
    <w:aliases w:val="Komentar - sklic"/>
    <w:uiPriority w:val="99"/>
    <w:rsid w:val="00A23D5D"/>
    <w:rPr>
      <w:sz w:val="16"/>
      <w:szCs w:val="16"/>
    </w:rPr>
  </w:style>
  <w:style w:type="paragraph" w:styleId="Pripombabesedilo">
    <w:name w:val="annotation text"/>
    <w:aliases w:val="Komentar - besedilo"/>
    <w:basedOn w:val="Navaden"/>
    <w:link w:val="PripombabesediloZnak"/>
    <w:uiPriority w:val="99"/>
    <w:rsid w:val="00A23D5D"/>
    <w:pPr>
      <w:spacing w:after="160" w:line="259" w:lineRule="auto"/>
    </w:pPr>
    <w:rPr>
      <w:rFonts w:ascii="Calibri" w:eastAsia="Calibri" w:hAnsi="Calibri"/>
      <w:szCs w:val="20"/>
      <w:lang w:val="sl-SI"/>
    </w:rPr>
  </w:style>
  <w:style w:type="character" w:customStyle="1" w:styleId="PripombabesediloZnak">
    <w:name w:val="Pripomba – besedilo Znak"/>
    <w:aliases w:val="Komentar - besedilo Znak"/>
    <w:link w:val="Pripombabesedilo"/>
    <w:uiPriority w:val="99"/>
    <w:rsid w:val="00A23D5D"/>
    <w:rPr>
      <w:rFonts w:ascii="Calibri" w:eastAsia="Calibri" w:hAnsi="Calibri"/>
      <w:lang w:eastAsia="en-US"/>
    </w:rPr>
  </w:style>
  <w:style w:type="paragraph" w:styleId="Zadevapripombe">
    <w:name w:val="annotation subject"/>
    <w:basedOn w:val="Pripombabesedilo"/>
    <w:next w:val="Pripombabesedilo"/>
    <w:link w:val="ZadevapripombeZnak"/>
    <w:rsid w:val="00A23D5D"/>
    <w:rPr>
      <w:b/>
      <w:bCs/>
    </w:rPr>
  </w:style>
  <w:style w:type="character" w:customStyle="1" w:styleId="ZadevapripombeZnak">
    <w:name w:val="Zadeva pripombe Znak"/>
    <w:link w:val="Zadevapripombe"/>
    <w:rsid w:val="00A23D5D"/>
    <w:rPr>
      <w:rFonts w:ascii="Calibri" w:eastAsia="Calibri" w:hAnsi="Calibri"/>
      <w:b/>
      <w:bCs/>
      <w:lang w:eastAsia="en-US"/>
    </w:rPr>
  </w:style>
  <w:style w:type="character" w:customStyle="1" w:styleId="Nerazreenaomemba1">
    <w:name w:val="Nerazrešena omemba1"/>
    <w:basedOn w:val="Privzetapisavaodstavka"/>
    <w:uiPriority w:val="99"/>
    <w:semiHidden/>
    <w:unhideWhenUsed/>
    <w:rsid w:val="00AE6CE3"/>
    <w:rPr>
      <w:color w:val="605E5C"/>
      <w:shd w:val="clear" w:color="auto" w:fill="E1DFDD"/>
    </w:rPr>
  </w:style>
  <w:style w:type="paragraph" w:customStyle="1" w:styleId="Naslovpredpisa">
    <w:name w:val="Naslov_predpisa"/>
    <w:basedOn w:val="Navaden"/>
    <w:link w:val="NaslovpredpisaZnak"/>
    <w:qFormat/>
    <w:rsid w:val="00486E02"/>
    <w:pPr>
      <w:suppressAutoHyphens/>
      <w:overflowPunct w:val="0"/>
      <w:autoSpaceDE w:val="0"/>
      <w:autoSpaceDN w:val="0"/>
      <w:adjustRightInd w:val="0"/>
      <w:spacing w:before="120" w:after="160" w:line="200" w:lineRule="exact"/>
      <w:jc w:val="center"/>
      <w:textAlignment w:val="baseline"/>
    </w:pPr>
    <w:rPr>
      <w:b/>
      <w:sz w:val="22"/>
      <w:szCs w:val="22"/>
      <w:lang w:val="sl-SI"/>
    </w:rPr>
  </w:style>
  <w:style w:type="character" w:customStyle="1" w:styleId="NaslovpredpisaZnak">
    <w:name w:val="Naslov_predpisa Znak"/>
    <w:link w:val="Naslovpredpisa"/>
    <w:rsid w:val="00486E02"/>
    <w:rPr>
      <w:rFonts w:ascii="Arial" w:hAnsi="Arial"/>
      <w:b/>
      <w:sz w:val="22"/>
      <w:szCs w:val="22"/>
      <w:lang w:eastAsia="en-US"/>
    </w:rPr>
  </w:style>
  <w:style w:type="paragraph" w:customStyle="1" w:styleId="tevilnatoka">
    <w:name w:val="Številčna točka"/>
    <w:basedOn w:val="Navaden"/>
    <w:link w:val="tevilnatokaZnak"/>
    <w:qFormat/>
    <w:rsid w:val="00486E02"/>
    <w:pPr>
      <w:numPr>
        <w:numId w:val="10"/>
      </w:numPr>
      <w:tabs>
        <w:tab w:val="left" w:pos="540"/>
        <w:tab w:val="left" w:pos="900"/>
      </w:tabs>
      <w:spacing w:line="240" w:lineRule="auto"/>
      <w:jc w:val="both"/>
    </w:pPr>
    <w:rPr>
      <w:rFonts w:cs="Arial"/>
      <w:sz w:val="22"/>
      <w:szCs w:val="22"/>
      <w:lang w:val="sl-SI" w:eastAsia="sl-SI"/>
    </w:rPr>
  </w:style>
  <w:style w:type="character" w:customStyle="1" w:styleId="tevilnatokaZnak">
    <w:name w:val="Številčna točka Znak"/>
    <w:link w:val="tevilnatoka"/>
    <w:rsid w:val="00486E02"/>
    <w:rPr>
      <w:rFonts w:ascii="Arial" w:hAnsi="Arial" w:cs="Arial"/>
      <w:sz w:val="22"/>
      <w:szCs w:val="22"/>
    </w:rPr>
  </w:style>
  <w:style w:type="paragraph" w:customStyle="1" w:styleId="lennaslov0">
    <w:name w:val="Člen_naslov"/>
    <w:basedOn w:val="Navaden"/>
    <w:qFormat/>
    <w:rsid w:val="00486E02"/>
    <w:pPr>
      <w:suppressAutoHyphens/>
      <w:overflowPunct w:val="0"/>
      <w:autoSpaceDE w:val="0"/>
      <w:autoSpaceDN w:val="0"/>
      <w:adjustRightInd w:val="0"/>
      <w:spacing w:line="240" w:lineRule="auto"/>
      <w:jc w:val="center"/>
      <w:textAlignment w:val="baseline"/>
    </w:pPr>
    <w:rPr>
      <w:b/>
      <w:sz w:val="22"/>
      <w:szCs w:val="22"/>
      <w:lang w:val="sl-SI"/>
    </w:rPr>
  </w:style>
  <w:style w:type="paragraph" w:customStyle="1" w:styleId="lennovele">
    <w:name w:val="Člen_novele"/>
    <w:basedOn w:val="Navaden"/>
    <w:link w:val="lennoveleZnak"/>
    <w:qFormat/>
    <w:rsid w:val="00486E02"/>
    <w:pPr>
      <w:suppressAutoHyphens/>
      <w:overflowPunct w:val="0"/>
      <w:autoSpaceDE w:val="0"/>
      <w:autoSpaceDN w:val="0"/>
      <w:adjustRightInd w:val="0"/>
      <w:spacing w:before="480" w:line="240" w:lineRule="auto"/>
      <w:jc w:val="center"/>
      <w:textAlignment w:val="baseline"/>
    </w:pPr>
    <w:rPr>
      <w:rFonts w:cs="Arial"/>
      <w:sz w:val="22"/>
      <w:szCs w:val="22"/>
      <w:lang w:val="sl-SI" w:eastAsia="sl-SI"/>
    </w:rPr>
  </w:style>
  <w:style w:type="character" w:customStyle="1" w:styleId="lennoveleZnak">
    <w:name w:val="Člen_novele Znak"/>
    <w:basedOn w:val="Privzetapisavaodstavka"/>
    <w:link w:val="lennovele"/>
    <w:rsid w:val="00486E02"/>
    <w:rPr>
      <w:rFonts w:ascii="Arial" w:hAnsi="Arial" w:cs="Arial"/>
      <w:sz w:val="22"/>
      <w:szCs w:val="22"/>
    </w:rPr>
  </w:style>
  <w:style w:type="paragraph" w:styleId="Revizija">
    <w:name w:val="Revision"/>
    <w:hidden/>
    <w:uiPriority w:val="99"/>
    <w:semiHidden/>
    <w:rsid w:val="00235E9F"/>
    <w:rPr>
      <w:rFonts w:ascii="Arial" w:hAnsi="Arial"/>
      <w:szCs w:val="24"/>
      <w:lang w:val="en-US" w:eastAsia="en-US"/>
    </w:rPr>
  </w:style>
  <w:style w:type="paragraph" w:customStyle="1" w:styleId="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w:basedOn w:val="Navaden"/>
    <w:rsid w:val="00457346"/>
    <w:pPr>
      <w:spacing w:after="160" w:line="240" w:lineRule="exact"/>
    </w:pPr>
    <w:rPr>
      <w:rFonts w:ascii="Tahoma" w:hAnsi="Tahoma"/>
      <w:szCs w:val="20"/>
      <w:lang w:val="sl-SI"/>
    </w:rPr>
  </w:style>
  <w:style w:type="paragraph" w:customStyle="1" w:styleId="ZnakZnakZnakZnakZnakZnakZnakZnakZnakZnakZnakZnakZnakZnakZnakZnakZnakZnakZnakZnakZnakZnakZnakZnakZnakZnakZnakZnakZnakZnak0">
    <w:name w:val="Znak Znak Znak Znak Znak Znak Znak Znak Znak Znak Znak Znak Znak Znak Znak Znak Znak Znak Znak Znak Znak Znak Znak Znak Znak Znak Znak Znak Znak Znak"/>
    <w:basedOn w:val="Navaden"/>
    <w:rsid w:val="00173EE5"/>
    <w:pPr>
      <w:spacing w:after="160" w:line="240" w:lineRule="exact"/>
    </w:pPr>
    <w:rPr>
      <w:rFonts w:ascii="Tahoma" w:hAnsi="Tahoma"/>
      <w:szCs w:val="20"/>
      <w:lang w:val="sl-SI"/>
    </w:rPr>
  </w:style>
  <w:style w:type="paragraph" w:customStyle="1" w:styleId="ZnakZnakZnakZnakZnakZnakZnakZnakZnakZnakZnakZnakZnakZnakZnakZnakZnakZnakZnakZnakZnakZnakZnakZnakZnakZnakZnakZnakZnakZnak1">
    <w:name w:val="Znak Znak Znak Znak Znak Znak Znak Znak Znak Znak Znak Znak Znak Znak Znak Znak Znak Znak Znak Znak Znak Znak Znak Znak Znak Znak Znak Znak Znak Znak"/>
    <w:basedOn w:val="Navaden"/>
    <w:rsid w:val="00AA442F"/>
    <w:pPr>
      <w:spacing w:after="160" w:line="240" w:lineRule="exact"/>
    </w:pPr>
    <w:rPr>
      <w:rFonts w:ascii="Tahoma" w:hAnsi="Tahoma"/>
      <w:szCs w:val="20"/>
      <w:lang w:val="sl-SI"/>
    </w:rPr>
  </w:style>
  <w:style w:type="character" w:customStyle="1" w:styleId="rkovnatokazaodstavkomZnak">
    <w:name w:val="Črkovna točka_za odstavkom Znak"/>
    <w:link w:val="rkovnatokazaodstavkom"/>
    <w:rsid w:val="00B249C1"/>
    <w:rPr>
      <w:rFonts w:ascii="Arial" w:hAnsi="Arial"/>
    </w:rPr>
  </w:style>
  <w:style w:type="paragraph" w:customStyle="1" w:styleId="rkovnatokazaodstavkom">
    <w:name w:val="Črkovna točka_za odstavkom"/>
    <w:basedOn w:val="Navaden"/>
    <w:link w:val="rkovnatokazaodstavkomZnak"/>
    <w:qFormat/>
    <w:rsid w:val="00B249C1"/>
    <w:pPr>
      <w:numPr>
        <w:numId w:val="15"/>
      </w:numPr>
      <w:overflowPunct w:val="0"/>
      <w:autoSpaceDE w:val="0"/>
      <w:autoSpaceDN w:val="0"/>
      <w:adjustRightInd w:val="0"/>
      <w:spacing w:line="200" w:lineRule="exact"/>
      <w:jc w:val="both"/>
      <w:textAlignment w:val="baseline"/>
    </w:pPr>
    <w:rPr>
      <w:szCs w:val="20"/>
      <w:lang w:val="sl-SI" w:eastAsia="sl-SI"/>
    </w:rPr>
  </w:style>
  <w:style w:type="character" w:customStyle="1" w:styleId="OdstavekseznamaZnak">
    <w:name w:val="Odstavek seznama Znak"/>
    <w:basedOn w:val="Privzetapisavaodstavka"/>
    <w:link w:val="Odstavekseznama"/>
    <w:uiPriority w:val="34"/>
    <w:rsid w:val="00B249C1"/>
    <w:rPr>
      <w:rFonts w:ascii="Arial" w:hAnsi="Arial"/>
      <w:szCs w:val="24"/>
      <w:lang w:val="en-US" w:eastAsia="en-US"/>
    </w:rPr>
  </w:style>
  <w:style w:type="paragraph" w:customStyle="1" w:styleId="OdstavektevilkaZIV">
    <w:name w:val="OdstavekŠtevilkaZIV"/>
    <w:basedOn w:val="Navaden"/>
    <w:link w:val="OdstavektevilkaZIVZnak"/>
    <w:qFormat/>
    <w:rsid w:val="00B249C1"/>
    <w:pPr>
      <w:widowControl w:val="0"/>
      <w:numPr>
        <w:numId w:val="16"/>
      </w:numPr>
      <w:autoSpaceDE w:val="0"/>
      <w:autoSpaceDN w:val="0"/>
      <w:adjustRightInd w:val="0"/>
      <w:spacing w:after="120" w:line="280" w:lineRule="exact"/>
      <w:jc w:val="both"/>
    </w:pPr>
    <w:rPr>
      <w:rFonts w:cs="Arial"/>
      <w:szCs w:val="20"/>
      <w:lang w:val="sl-SI" w:eastAsia="cs-CZ"/>
    </w:rPr>
  </w:style>
  <w:style w:type="character" w:customStyle="1" w:styleId="OdstavektevilkaZIVZnak">
    <w:name w:val="OdstavekŠtevilkaZIV Znak"/>
    <w:basedOn w:val="Privzetapisavaodstavka"/>
    <w:link w:val="OdstavektevilkaZIV"/>
    <w:rsid w:val="00B249C1"/>
    <w:rPr>
      <w:rFonts w:ascii="Arial" w:hAnsi="Arial" w:cs="Arial"/>
      <w:lang w:eastAsia="cs-CZ"/>
    </w:rPr>
  </w:style>
  <w:style w:type="paragraph" w:customStyle="1" w:styleId="Alineazaodstavkom">
    <w:name w:val="Alinea za odstavkom"/>
    <w:basedOn w:val="Navaden"/>
    <w:link w:val="AlineazaodstavkomZnak"/>
    <w:qFormat/>
    <w:rsid w:val="00C0478B"/>
    <w:pPr>
      <w:numPr>
        <w:numId w:val="17"/>
      </w:numPr>
      <w:overflowPunct w:val="0"/>
      <w:autoSpaceDE w:val="0"/>
      <w:autoSpaceDN w:val="0"/>
      <w:adjustRightInd w:val="0"/>
      <w:spacing w:line="200" w:lineRule="exact"/>
      <w:jc w:val="both"/>
      <w:textAlignment w:val="baseline"/>
    </w:pPr>
    <w:rPr>
      <w:rFonts w:cs="Arial"/>
      <w:sz w:val="22"/>
      <w:szCs w:val="22"/>
      <w:lang w:val="sl-SI" w:eastAsia="sl-SI"/>
    </w:rPr>
  </w:style>
  <w:style w:type="character" w:customStyle="1" w:styleId="AlineazaodstavkomZnak">
    <w:name w:val="Alinea za odstavkom Znak"/>
    <w:link w:val="Alineazaodstavkom"/>
    <w:rsid w:val="00C0478B"/>
    <w:rPr>
      <w:rFonts w:ascii="Arial" w:hAnsi="Arial" w:cs="Arial"/>
      <w:sz w:val="22"/>
      <w:szCs w:val="22"/>
    </w:rPr>
  </w:style>
  <w:style w:type="paragraph" w:customStyle="1" w:styleId="Poglavje">
    <w:name w:val="Poglavje"/>
    <w:basedOn w:val="Navaden"/>
    <w:link w:val="PoglavjeZnak"/>
    <w:qFormat/>
    <w:rsid w:val="00661777"/>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character" w:customStyle="1" w:styleId="PoglavjeZnak">
    <w:name w:val="Poglavje Znak"/>
    <w:link w:val="Poglavje"/>
    <w:rsid w:val="00661777"/>
    <w:rPr>
      <w:rFonts w:ascii="Arial" w:hAnsi="Arial" w:cs="Arial"/>
      <w:b/>
      <w:sz w:val="22"/>
      <w:szCs w:val="22"/>
    </w:rPr>
  </w:style>
  <w:style w:type="paragraph" w:customStyle="1" w:styleId="NIS2len">
    <w:name w:val="NIS2 člen"/>
    <w:basedOn w:val="Navaden"/>
    <w:link w:val="NIS2lenZnak"/>
    <w:qFormat/>
    <w:rsid w:val="001723C4"/>
    <w:pPr>
      <w:numPr>
        <w:numId w:val="24"/>
      </w:numPr>
      <w:suppressAutoHyphens/>
      <w:overflowPunct w:val="0"/>
      <w:autoSpaceDE w:val="0"/>
      <w:autoSpaceDN w:val="0"/>
      <w:adjustRightInd w:val="0"/>
      <w:spacing w:before="480" w:line="240" w:lineRule="auto"/>
      <w:jc w:val="center"/>
      <w:textAlignment w:val="baseline"/>
    </w:pPr>
    <w:rPr>
      <w:rFonts w:cs="Arial"/>
      <w:b/>
      <w:sz w:val="22"/>
      <w:szCs w:val="22"/>
      <w:lang w:val="sl-SI" w:eastAsia="sl-SI"/>
    </w:rPr>
  </w:style>
  <w:style w:type="character" w:customStyle="1" w:styleId="NIS2lenZnak">
    <w:name w:val="NIS2 člen Znak"/>
    <w:basedOn w:val="Privzetapisavaodstavka"/>
    <w:link w:val="NIS2len"/>
    <w:rsid w:val="001723C4"/>
    <w:rPr>
      <w:rFonts w:ascii="Arial" w:hAnsi="Arial" w:cs="Arial"/>
      <w:b/>
      <w:sz w:val="22"/>
      <w:szCs w:val="22"/>
    </w:rPr>
  </w:style>
  <w:style w:type="paragraph" w:customStyle="1" w:styleId="NIS2naslovpoglavja">
    <w:name w:val="NIS2 naslov poglavja"/>
    <w:basedOn w:val="Poglavje"/>
    <w:link w:val="NIS2naslovpoglavjaZnak"/>
    <w:qFormat/>
    <w:rsid w:val="001723C4"/>
    <w:pPr>
      <w:numPr>
        <w:numId w:val="25"/>
      </w:numPr>
      <w:spacing w:before="0" w:after="0" w:line="260" w:lineRule="atLeast"/>
      <w:outlineLvl w:val="9"/>
    </w:pPr>
    <w:rPr>
      <w:bCs/>
    </w:rPr>
  </w:style>
  <w:style w:type="character" w:customStyle="1" w:styleId="NIS2naslovpoglavjaZnak">
    <w:name w:val="NIS2 naslov poglavja Znak"/>
    <w:link w:val="NIS2naslovpoglavja"/>
    <w:rsid w:val="001723C4"/>
    <w:rPr>
      <w:rFonts w:ascii="Arial" w:hAnsi="Arial" w:cs="Arial"/>
      <w:b/>
      <w:bCs/>
      <w:sz w:val="22"/>
      <w:szCs w:val="22"/>
    </w:rPr>
  </w:style>
  <w:style w:type="paragraph" w:customStyle="1" w:styleId="pf0">
    <w:name w:val="pf0"/>
    <w:basedOn w:val="Navaden"/>
    <w:rsid w:val="00747711"/>
    <w:pPr>
      <w:spacing w:before="100" w:beforeAutospacing="1" w:after="100" w:afterAutospacing="1" w:line="240" w:lineRule="auto"/>
    </w:pPr>
    <w:rPr>
      <w:rFonts w:ascii="Times New Roman" w:hAnsi="Times New Roman"/>
      <w:sz w:val="24"/>
      <w:lang w:val="sl-SI" w:eastAsia="sl-SI"/>
    </w:rPr>
  </w:style>
  <w:style w:type="character" w:customStyle="1" w:styleId="cf01">
    <w:name w:val="cf01"/>
    <w:basedOn w:val="Privzetapisavaodstavka"/>
    <w:rsid w:val="00747711"/>
    <w:rPr>
      <w:rFonts w:ascii="Segoe UI" w:hAnsi="Segoe UI" w:cs="Segoe UI" w:hint="default"/>
      <w:sz w:val="18"/>
      <w:szCs w:val="18"/>
    </w:rPr>
  </w:style>
  <w:style w:type="character" w:styleId="Nerazreenaomemba">
    <w:name w:val="Unresolved Mention"/>
    <w:basedOn w:val="Privzetapisavaodstavka"/>
    <w:uiPriority w:val="99"/>
    <w:semiHidden/>
    <w:unhideWhenUsed/>
    <w:rsid w:val="00EC61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4623">
      <w:bodyDiv w:val="1"/>
      <w:marLeft w:val="0"/>
      <w:marRight w:val="0"/>
      <w:marTop w:val="0"/>
      <w:marBottom w:val="0"/>
      <w:divBdr>
        <w:top w:val="none" w:sz="0" w:space="0" w:color="auto"/>
        <w:left w:val="none" w:sz="0" w:space="0" w:color="auto"/>
        <w:bottom w:val="none" w:sz="0" w:space="0" w:color="auto"/>
        <w:right w:val="none" w:sz="0" w:space="0" w:color="auto"/>
      </w:divBdr>
    </w:div>
    <w:div w:id="24450250">
      <w:bodyDiv w:val="1"/>
      <w:marLeft w:val="0"/>
      <w:marRight w:val="0"/>
      <w:marTop w:val="0"/>
      <w:marBottom w:val="0"/>
      <w:divBdr>
        <w:top w:val="none" w:sz="0" w:space="0" w:color="auto"/>
        <w:left w:val="none" w:sz="0" w:space="0" w:color="auto"/>
        <w:bottom w:val="none" w:sz="0" w:space="0" w:color="auto"/>
        <w:right w:val="none" w:sz="0" w:space="0" w:color="auto"/>
      </w:divBdr>
    </w:div>
    <w:div w:id="116066521">
      <w:bodyDiv w:val="1"/>
      <w:marLeft w:val="0"/>
      <w:marRight w:val="0"/>
      <w:marTop w:val="0"/>
      <w:marBottom w:val="0"/>
      <w:divBdr>
        <w:top w:val="none" w:sz="0" w:space="0" w:color="auto"/>
        <w:left w:val="none" w:sz="0" w:space="0" w:color="auto"/>
        <w:bottom w:val="none" w:sz="0" w:space="0" w:color="auto"/>
        <w:right w:val="none" w:sz="0" w:space="0" w:color="auto"/>
      </w:divBdr>
    </w:div>
    <w:div w:id="122895360">
      <w:bodyDiv w:val="1"/>
      <w:marLeft w:val="0"/>
      <w:marRight w:val="0"/>
      <w:marTop w:val="0"/>
      <w:marBottom w:val="0"/>
      <w:divBdr>
        <w:top w:val="none" w:sz="0" w:space="0" w:color="auto"/>
        <w:left w:val="none" w:sz="0" w:space="0" w:color="auto"/>
        <w:bottom w:val="none" w:sz="0" w:space="0" w:color="auto"/>
        <w:right w:val="none" w:sz="0" w:space="0" w:color="auto"/>
      </w:divBdr>
    </w:div>
    <w:div w:id="144510752">
      <w:bodyDiv w:val="1"/>
      <w:marLeft w:val="0"/>
      <w:marRight w:val="0"/>
      <w:marTop w:val="0"/>
      <w:marBottom w:val="0"/>
      <w:divBdr>
        <w:top w:val="none" w:sz="0" w:space="0" w:color="auto"/>
        <w:left w:val="none" w:sz="0" w:space="0" w:color="auto"/>
        <w:bottom w:val="none" w:sz="0" w:space="0" w:color="auto"/>
        <w:right w:val="none" w:sz="0" w:space="0" w:color="auto"/>
      </w:divBdr>
    </w:div>
    <w:div w:id="215316987">
      <w:bodyDiv w:val="1"/>
      <w:marLeft w:val="0"/>
      <w:marRight w:val="0"/>
      <w:marTop w:val="0"/>
      <w:marBottom w:val="0"/>
      <w:divBdr>
        <w:top w:val="none" w:sz="0" w:space="0" w:color="auto"/>
        <w:left w:val="none" w:sz="0" w:space="0" w:color="auto"/>
        <w:bottom w:val="none" w:sz="0" w:space="0" w:color="auto"/>
        <w:right w:val="none" w:sz="0" w:space="0" w:color="auto"/>
      </w:divBdr>
    </w:div>
    <w:div w:id="255091893">
      <w:bodyDiv w:val="1"/>
      <w:marLeft w:val="0"/>
      <w:marRight w:val="0"/>
      <w:marTop w:val="0"/>
      <w:marBottom w:val="0"/>
      <w:divBdr>
        <w:top w:val="none" w:sz="0" w:space="0" w:color="auto"/>
        <w:left w:val="none" w:sz="0" w:space="0" w:color="auto"/>
        <w:bottom w:val="none" w:sz="0" w:space="0" w:color="auto"/>
        <w:right w:val="none" w:sz="0" w:space="0" w:color="auto"/>
      </w:divBdr>
    </w:div>
    <w:div w:id="271135192">
      <w:bodyDiv w:val="1"/>
      <w:marLeft w:val="0"/>
      <w:marRight w:val="0"/>
      <w:marTop w:val="0"/>
      <w:marBottom w:val="0"/>
      <w:divBdr>
        <w:top w:val="none" w:sz="0" w:space="0" w:color="auto"/>
        <w:left w:val="none" w:sz="0" w:space="0" w:color="auto"/>
        <w:bottom w:val="none" w:sz="0" w:space="0" w:color="auto"/>
        <w:right w:val="none" w:sz="0" w:space="0" w:color="auto"/>
      </w:divBdr>
    </w:div>
    <w:div w:id="354235430">
      <w:bodyDiv w:val="1"/>
      <w:marLeft w:val="0"/>
      <w:marRight w:val="0"/>
      <w:marTop w:val="0"/>
      <w:marBottom w:val="0"/>
      <w:divBdr>
        <w:top w:val="none" w:sz="0" w:space="0" w:color="auto"/>
        <w:left w:val="none" w:sz="0" w:space="0" w:color="auto"/>
        <w:bottom w:val="none" w:sz="0" w:space="0" w:color="auto"/>
        <w:right w:val="none" w:sz="0" w:space="0" w:color="auto"/>
      </w:divBdr>
    </w:div>
    <w:div w:id="365375317">
      <w:bodyDiv w:val="1"/>
      <w:marLeft w:val="0"/>
      <w:marRight w:val="0"/>
      <w:marTop w:val="0"/>
      <w:marBottom w:val="0"/>
      <w:divBdr>
        <w:top w:val="none" w:sz="0" w:space="0" w:color="auto"/>
        <w:left w:val="none" w:sz="0" w:space="0" w:color="auto"/>
        <w:bottom w:val="none" w:sz="0" w:space="0" w:color="auto"/>
        <w:right w:val="none" w:sz="0" w:space="0" w:color="auto"/>
      </w:divBdr>
    </w:div>
    <w:div w:id="387842344">
      <w:bodyDiv w:val="1"/>
      <w:marLeft w:val="0"/>
      <w:marRight w:val="0"/>
      <w:marTop w:val="0"/>
      <w:marBottom w:val="0"/>
      <w:divBdr>
        <w:top w:val="none" w:sz="0" w:space="0" w:color="auto"/>
        <w:left w:val="none" w:sz="0" w:space="0" w:color="auto"/>
        <w:bottom w:val="none" w:sz="0" w:space="0" w:color="auto"/>
        <w:right w:val="none" w:sz="0" w:space="0" w:color="auto"/>
      </w:divBdr>
      <w:divsChild>
        <w:div w:id="729575713">
          <w:marLeft w:val="0"/>
          <w:marRight w:val="0"/>
          <w:marTop w:val="480"/>
          <w:marBottom w:val="0"/>
          <w:divBdr>
            <w:top w:val="none" w:sz="0" w:space="0" w:color="auto"/>
            <w:left w:val="none" w:sz="0" w:space="0" w:color="auto"/>
            <w:bottom w:val="none" w:sz="0" w:space="0" w:color="auto"/>
            <w:right w:val="none" w:sz="0" w:space="0" w:color="auto"/>
          </w:divBdr>
        </w:div>
        <w:div w:id="601569461">
          <w:marLeft w:val="0"/>
          <w:marRight w:val="0"/>
          <w:marTop w:val="480"/>
          <w:marBottom w:val="0"/>
          <w:divBdr>
            <w:top w:val="none" w:sz="0" w:space="0" w:color="auto"/>
            <w:left w:val="none" w:sz="0" w:space="0" w:color="auto"/>
            <w:bottom w:val="none" w:sz="0" w:space="0" w:color="auto"/>
            <w:right w:val="none" w:sz="0" w:space="0" w:color="auto"/>
          </w:divBdr>
        </w:div>
      </w:divsChild>
    </w:div>
    <w:div w:id="465858450">
      <w:bodyDiv w:val="1"/>
      <w:marLeft w:val="0"/>
      <w:marRight w:val="0"/>
      <w:marTop w:val="0"/>
      <w:marBottom w:val="0"/>
      <w:divBdr>
        <w:top w:val="none" w:sz="0" w:space="0" w:color="auto"/>
        <w:left w:val="none" w:sz="0" w:space="0" w:color="auto"/>
        <w:bottom w:val="none" w:sz="0" w:space="0" w:color="auto"/>
        <w:right w:val="none" w:sz="0" w:space="0" w:color="auto"/>
      </w:divBdr>
    </w:div>
    <w:div w:id="483594994">
      <w:bodyDiv w:val="1"/>
      <w:marLeft w:val="0"/>
      <w:marRight w:val="0"/>
      <w:marTop w:val="0"/>
      <w:marBottom w:val="0"/>
      <w:divBdr>
        <w:top w:val="none" w:sz="0" w:space="0" w:color="auto"/>
        <w:left w:val="none" w:sz="0" w:space="0" w:color="auto"/>
        <w:bottom w:val="none" w:sz="0" w:space="0" w:color="auto"/>
        <w:right w:val="none" w:sz="0" w:space="0" w:color="auto"/>
      </w:divBdr>
    </w:div>
    <w:div w:id="824931989">
      <w:bodyDiv w:val="1"/>
      <w:marLeft w:val="0"/>
      <w:marRight w:val="0"/>
      <w:marTop w:val="0"/>
      <w:marBottom w:val="0"/>
      <w:divBdr>
        <w:top w:val="none" w:sz="0" w:space="0" w:color="auto"/>
        <w:left w:val="none" w:sz="0" w:space="0" w:color="auto"/>
        <w:bottom w:val="none" w:sz="0" w:space="0" w:color="auto"/>
        <w:right w:val="none" w:sz="0" w:space="0" w:color="auto"/>
      </w:divBdr>
    </w:div>
    <w:div w:id="907037321">
      <w:bodyDiv w:val="1"/>
      <w:marLeft w:val="0"/>
      <w:marRight w:val="0"/>
      <w:marTop w:val="0"/>
      <w:marBottom w:val="0"/>
      <w:divBdr>
        <w:top w:val="none" w:sz="0" w:space="0" w:color="auto"/>
        <w:left w:val="none" w:sz="0" w:space="0" w:color="auto"/>
        <w:bottom w:val="none" w:sz="0" w:space="0" w:color="auto"/>
        <w:right w:val="none" w:sz="0" w:space="0" w:color="auto"/>
      </w:divBdr>
    </w:div>
    <w:div w:id="923031928">
      <w:bodyDiv w:val="1"/>
      <w:marLeft w:val="0"/>
      <w:marRight w:val="0"/>
      <w:marTop w:val="0"/>
      <w:marBottom w:val="0"/>
      <w:divBdr>
        <w:top w:val="none" w:sz="0" w:space="0" w:color="auto"/>
        <w:left w:val="none" w:sz="0" w:space="0" w:color="auto"/>
        <w:bottom w:val="none" w:sz="0" w:space="0" w:color="auto"/>
        <w:right w:val="none" w:sz="0" w:space="0" w:color="auto"/>
      </w:divBdr>
    </w:div>
    <w:div w:id="923150619">
      <w:bodyDiv w:val="1"/>
      <w:marLeft w:val="0"/>
      <w:marRight w:val="0"/>
      <w:marTop w:val="0"/>
      <w:marBottom w:val="0"/>
      <w:divBdr>
        <w:top w:val="none" w:sz="0" w:space="0" w:color="auto"/>
        <w:left w:val="none" w:sz="0" w:space="0" w:color="auto"/>
        <w:bottom w:val="none" w:sz="0" w:space="0" w:color="auto"/>
        <w:right w:val="none" w:sz="0" w:space="0" w:color="auto"/>
      </w:divBdr>
    </w:div>
    <w:div w:id="954482158">
      <w:bodyDiv w:val="1"/>
      <w:marLeft w:val="0"/>
      <w:marRight w:val="0"/>
      <w:marTop w:val="0"/>
      <w:marBottom w:val="0"/>
      <w:divBdr>
        <w:top w:val="none" w:sz="0" w:space="0" w:color="auto"/>
        <w:left w:val="none" w:sz="0" w:space="0" w:color="auto"/>
        <w:bottom w:val="none" w:sz="0" w:space="0" w:color="auto"/>
        <w:right w:val="none" w:sz="0" w:space="0" w:color="auto"/>
      </w:divBdr>
    </w:div>
    <w:div w:id="1134984788">
      <w:bodyDiv w:val="1"/>
      <w:marLeft w:val="0"/>
      <w:marRight w:val="0"/>
      <w:marTop w:val="0"/>
      <w:marBottom w:val="0"/>
      <w:divBdr>
        <w:top w:val="none" w:sz="0" w:space="0" w:color="auto"/>
        <w:left w:val="none" w:sz="0" w:space="0" w:color="auto"/>
        <w:bottom w:val="none" w:sz="0" w:space="0" w:color="auto"/>
        <w:right w:val="none" w:sz="0" w:space="0" w:color="auto"/>
      </w:divBdr>
    </w:div>
    <w:div w:id="1145509823">
      <w:bodyDiv w:val="1"/>
      <w:marLeft w:val="0"/>
      <w:marRight w:val="0"/>
      <w:marTop w:val="0"/>
      <w:marBottom w:val="0"/>
      <w:divBdr>
        <w:top w:val="none" w:sz="0" w:space="0" w:color="auto"/>
        <w:left w:val="none" w:sz="0" w:space="0" w:color="auto"/>
        <w:bottom w:val="none" w:sz="0" w:space="0" w:color="auto"/>
        <w:right w:val="none" w:sz="0" w:space="0" w:color="auto"/>
      </w:divBdr>
    </w:div>
    <w:div w:id="1184171612">
      <w:bodyDiv w:val="1"/>
      <w:marLeft w:val="0"/>
      <w:marRight w:val="0"/>
      <w:marTop w:val="0"/>
      <w:marBottom w:val="0"/>
      <w:divBdr>
        <w:top w:val="none" w:sz="0" w:space="0" w:color="auto"/>
        <w:left w:val="none" w:sz="0" w:space="0" w:color="auto"/>
        <w:bottom w:val="none" w:sz="0" w:space="0" w:color="auto"/>
        <w:right w:val="none" w:sz="0" w:space="0" w:color="auto"/>
      </w:divBdr>
    </w:div>
    <w:div w:id="1272667607">
      <w:bodyDiv w:val="1"/>
      <w:marLeft w:val="0"/>
      <w:marRight w:val="0"/>
      <w:marTop w:val="0"/>
      <w:marBottom w:val="0"/>
      <w:divBdr>
        <w:top w:val="none" w:sz="0" w:space="0" w:color="auto"/>
        <w:left w:val="none" w:sz="0" w:space="0" w:color="auto"/>
        <w:bottom w:val="none" w:sz="0" w:space="0" w:color="auto"/>
        <w:right w:val="none" w:sz="0" w:space="0" w:color="auto"/>
      </w:divBdr>
    </w:div>
    <w:div w:id="1354572324">
      <w:bodyDiv w:val="1"/>
      <w:marLeft w:val="0"/>
      <w:marRight w:val="0"/>
      <w:marTop w:val="0"/>
      <w:marBottom w:val="0"/>
      <w:divBdr>
        <w:top w:val="none" w:sz="0" w:space="0" w:color="auto"/>
        <w:left w:val="none" w:sz="0" w:space="0" w:color="auto"/>
        <w:bottom w:val="none" w:sz="0" w:space="0" w:color="auto"/>
        <w:right w:val="none" w:sz="0" w:space="0" w:color="auto"/>
      </w:divBdr>
    </w:div>
    <w:div w:id="1396582864">
      <w:bodyDiv w:val="1"/>
      <w:marLeft w:val="0"/>
      <w:marRight w:val="0"/>
      <w:marTop w:val="0"/>
      <w:marBottom w:val="0"/>
      <w:divBdr>
        <w:top w:val="none" w:sz="0" w:space="0" w:color="auto"/>
        <w:left w:val="none" w:sz="0" w:space="0" w:color="auto"/>
        <w:bottom w:val="none" w:sz="0" w:space="0" w:color="auto"/>
        <w:right w:val="none" w:sz="0" w:space="0" w:color="auto"/>
      </w:divBdr>
    </w:div>
    <w:div w:id="1461652511">
      <w:bodyDiv w:val="1"/>
      <w:marLeft w:val="0"/>
      <w:marRight w:val="0"/>
      <w:marTop w:val="0"/>
      <w:marBottom w:val="0"/>
      <w:divBdr>
        <w:top w:val="none" w:sz="0" w:space="0" w:color="auto"/>
        <w:left w:val="none" w:sz="0" w:space="0" w:color="auto"/>
        <w:bottom w:val="none" w:sz="0" w:space="0" w:color="auto"/>
        <w:right w:val="none" w:sz="0" w:space="0" w:color="auto"/>
      </w:divBdr>
    </w:div>
    <w:div w:id="1512450223">
      <w:bodyDiv w:val="1"/>
      <w:marLeft w:val="0"/>
      <w:marRight w:val="0"/>
      <w:marTop w:val="0"/>
      <w:marBottom w:val="0"/>
      <w:divBdr>
        <w:top w:val="none" w:sz="0" w:space="0" w:color="auto"/>
        <w:left w:val="none" w:sz="0" w:space="0" w:color="auto"/>
        <w:bottom w:val="none" w:sz="0" w:space="0" w:color="auto"/>
        <w:right w:val="none" w:sz="0" w:space="0" w:color="auto"/>
      </w:divBdr>
    </w:div>
    <w:div w:id="1651329230">
      <w:bodyDiv w:val="1"/>
      <w:marLeft w:val="0"/>
      <w:marRight w:val="0"/>
      <w:marTop w:val="0"/>
      <w:marBottom w:val="0"/>
      <w:divBdr>
        <w:top w:val="none" w:sz="0" w:space="0" w:color="auto"/>
        <w:left w:val="none" w:sz="0" w:space="0" w:color="auto"/>
        <w:bottom w:val="none" w:sz="0" w:space="0" w:color="auto"/>
        <w:right w:val="none" w:sz="0" w:space="0" w:color="auto"/>
      </w:divBdr>
    </w:div>
    <w:div w:id="1710255491">
      <w:bodyDiv w:val="1"/>
      <w:marLeft w:val="0"/>
      <w:marRight w:val="0"/>
      <w:marTop w:val="0"/>
      <w:marBottom w:val="0"/>
      <w:divBdr>
        <w:top w:val="none" w:sz="0" w:space="0" w:color="auto"/>
        <w:left w:val="none" w:sz="0" w:space="0" w:color="auto"/>
        <w:bottom w:val="none" w:sz="0" w:space="0" w:color="auto"/>
        <w:right w:val="none" w:sz="0" w:space="0" w:color="auto"/>
      </w:divBdr>
    </w:div>
    <w:div w:id="1718582269">
      <w:bodyDiv w:val="1"/>
      <w:marLeft w:val="0"/>
      <w:marRight w:val="0"/>
      <w:marTop w:val="0"/>
      <w:marBottom w:val="0"/>
      <w:divBdr>
        <w:top w:val="none" w:sz="0" w:space="0" w:color="auto"/>
        <w:left w:val="none" w:sz="0" w:space="0" w:color="auto"/>
        <w:bottom w:val="none" w:sz="0" w:space="0" w:color="auto"/>
        <w:right w:val="none" w:sz="0" w:space="0" w:color="auto"/>
      </w:divBdr>
    </w:div>
    <w:div w:id="1753429426">
      <w:bodyDiv w:val="1"/>
      <w:marLeft w:val="0"/>
      <w:marRight w:val="0"/>
      <w:marTop w:val="0"/>
      <w:marBottom w:val="0"/>
      <w:divBdr>
        <w:top w:val="none" w:sz="0" w:space="0" w:color="auto"/>
        <w:left w:val="none" w:sz="0" w:space="0" w:color="auto"/>
        <w:bottom w:val="none" w:sz="0" w:space="0" w:color="auto"/>
        <w:right w:val="none" w:sz="0" w:space="0" w:color="auto"/>
      </w:divBdr>
    </w:div>
    <w:div w:id="1768647192">
      <w:bodyDiv w:val="1"/>
      <w:marLeft w:val="0"/>
      <w:marRight w:val="0"/>
      <w:marTop w:val="0"/>
      <w:marBottom w:val="0"/>
      <w:divBdr>
        <w:top w:val="none" w:sz="0" w:space="0" w:color="auto"/>
        <w:left w:val="none" w:sz="0" w:space="0" w:color="auto"/>
        <w:bottom w:val="none" w:sz="0" w:space="0" w:color="auto"/>
        <w:right w:val="none" w:sz="0" w:space="0" w:color="auto"/>
      </w:divBdr>
    </w:div>
    <w:div w:id="1968778138">
      <w:bodyDiv w:val="1"/>
      <w:marLeft w:val="0"/>
      <w:marRight w:val="0"/>
      <w:marTop w:val="0"/>
      <w:marBottom w:val="0"/>
      <w:divBdr>
        <w:top w:val="none" w:sz="0" w:space="0" w:color="auto"/>
        <w:left w:val="none" w:sz="0" w:space="0" w:color="auto"/>
        <w:bottom w:val="none" w:sz="0" w:space="0" w:color="auto"/>
        <w:right w:val="none" w:sz="0" w:space="0" w:color="auto"/>
      </w:divBdr>
    </w:div>
    <w:div w:id="1970234040">
      <w:bodyDiv w:val="1"/>
      <w:marLeft w:val="0"/>
      <w:marRight w:val="0"/>
      <w:marTop w:val="0"/>
      <w:marBottom w:val="0"/>
      <w:divBdr>
        <w:top w:val="none" w:sz="0" w:space="0" w:color="auto"/>
        <w:left w:val="none" w:sz="0" w:space="0" w:color="auto"/>
        <w:bottom w:val="none" w:sz="0" w:space="0" w:color="auto"/>
        <w:right w:val="none" w:sz="0" w:space="0" w:color="auto"/>
      </w:divBdr>
    </w:div>
    <w:div w:id="2034528478">
      <w:bodyDiv w:val="1"/>
      <w:marLeft w:val="0"/>
      <w:marRight w:val="0"/>
      <w:marTop w:val="0"/>
      <w:marBottom w:val="0"/>
      <w:divBdr>
        <w:top w:val="none" w:sz="0" w:space="0" w:color="auto"/>
        <w:left w:val="none" w:sz="0" w:space="0" w:color="auto"/>
        <w:bottom w:val="none" w:sz="0" w:space="0" w:color="auto"/>
        <w:right w:val="none" w:sz="0" w:space="0" w:color="auto"/>
      </w:divBdr>
    </w:div>
    <w:div w:id="2056347945">
      <w:bodyDiv w:val="1"/>
      <w:marLeft w:val="0"/>
      <w:marRight w:val="0"/>
      <w:marTop w:val="0"/>
      <w:marBottom w:val="0"/>
      <w:divBdr>
        <w:top w:val="none" w:sz="0" w:space="0" w:color="auto"/>
        <w:left w:val="none" w:sz="0" w:space="0" w:color="auto"/>
        <w:bottom w:val="none" w:sz="0" w:space="0" w:color="auto"/>
        <w:right w:val="none" w:sz="0" w:space="0" w:color="auto"/>
      </w:divBdr>
    </w:div>
    <w:div w:id="210155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uprava.gov.si/si/drzava-in-druzba/e-demokracija/predlogi-predpisov/predlog-predpisa.html?id=16290"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0F43CBF-A425-44EB-9BDC-5F9440CD5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10449</Words>
  <Characters>66236</Characters>
  <Application>Microsoft Office Word</Application>
  <DocSecurity>0</DocSecurity>
  <Lines>551</Lines>
  <Paragraphs>153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2024-05-15T13:26:00Z</dcterms:created>
  <dcterms:modified xsi:type="dcterms:W3CDTF">2024-05-15T13:58:00Z</dcterms:modified>
</cp:coreProperties>
</file>