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A74D2" w14:textId="77777777" w:rsidR="00AF5D29" w:rsidRPr="007C6824" w:rsidRDefault="00AF5D29" w:rsidP="00694DC1">
      <w:pPr>
        <w:spacing w:line="240" w:lineRule="atLeast"/>
        <w:jc w:val="right"/>
        <w:rPr>
          <w:color w:val="808080" w:themeColor="background1" w:themeShade="80"/>
          <w:lang w:val="sl-SI"/>
        </w:rPr>
      </w:pPr>
      <w:r w:rsidRPr="007C6824">
        <w:rPr>
          <w:color w:val="808080" w:themeColor="background1" w:themeShade="80"/>
          <w:lang w:val="sl-SI"/>
        </w:rPr>
        <w:t>PREDLOG</w:t>
      </w:r>
    </w:p>
    <w:p w14:paraId="70305CA6" w14:textId="2A7904D9" w:rsidR="00AF5D29" w:rsidRPr="007C6824" w:rsidRDefault="00AF5D29" w:rsidP="00694DC1">
      <w:pPr>
        <w:spacing w:line="240" w:lineRule="atLeast"/>
        <w:jc w:val="right"/>
        <w:rPr>
          <w:color w:val="808080" w:themeColor="background1" w:themeShade="80"/>
          <w:lang w:val="sl-SI"/>
        </w:rPr>
      </w:pPr>
      <w:r w:rsidRPr="007C6824">
        <w:rPr>
          <w:color w:val="808080" w:themeColor="background1" w:themeShade="80"/>
          <w:lang w:val="sl-SI"/>
        </w:rPr>
        <w:t>EVA:</w:t>
      </w:r>
      <w:r w:rsidRPr="007C6824">
        <w:rPr>
          <w:lang w:val="sl-SI"/>
        </w:rPr>
        <w:t xml:space="preserve"> </w:t>
      </w:r>
      <w:r w:rsidRPr="007C6824">
        <w:rPr>
          <w:color w:val="808080" w:themeColor="background1" w:themeShade="80"/>
          <w:lang w:val="sl-SI"/>
        </w:rPr>
        <w:t>202</w:t>
      </w:r>
      <w:r w:rsidR="008D3185">
        <w:rPr>
          <w:color w:val="808080" w:themeColor="background1" w:themeShade="80"/>
          <w:lang w:val="sl-SI"/>
        </w:rPr>
        <w:t>4</w:t>
      </w:r>
      <w:r w:rsidRPr="007C6824">
        <w:rPr>
          <w:color w:val="808080" w:themeColor="background1" w:themeShade="80"/>
          <w:lang w:val="sl-SI"/>
        </w:rPr>
        <w:t>-3150-000</w:t>
      </w:r>
      <w:r w:rsidR="008D3185">
        <w:rPr>
          <w:color w:val="808080" w:themeColor="background1" w:themeShade="80"/>
          <w:lang w:val="sl-SI"/>
        </w:rPr>
        <w:t>2</w:t>
      </w:r>
    </w:p>
    <w:p w14:paraId="0A5F4DA2" w14:textId="77777777" w:rsidR="00AF5D29" w:rsidRPr="007C6824" w:rsidRDefault="00AF5D29" w:rsidP="00694DC1">
      <w:pPr>
        <w:spacing w:line="240" w:lineRule="atLeast"/>
        <w:rPr>
          <w:lang w:val="sl-SI"/>
        </w:rPr>
      </w:pPr>
    </w:p>
    <w:p w14:paraId="0532071D" w14:textId="77777777" w:rsidR="00AF5D29" w:rsidRPr="009564C3" w:rsidRDefault="00AF5D29" w:rsidP="00694DC1">
      <w:pPr>
        <w:spacing w:line="240" w:lineRule="atLeast"/>
        <w:rPr>
          <w:lang w:val="sl-SI"/>
        </w:rPr>
      </w:pPr>
    </w:p>
    <w:p w14:paraId="5B2F51D8" w14:textId="4A5A6D01" w:rsidR="00AF5D29" w:rsidRPr="009564C3" w:rsidRDefault="00AF5D29" w:rsidP="00694DC1">
      <w:pPr>
        <w:spacing w:line="240" w:lineRule="atLeast"/>
        <w:jc w:val="both"/>
        <w:rPr>
          <w:b/>
          <w:sz w:val="24"/>
          <w:lang w:val="sl-SI"/>
        </w:rPr>
      </w:pPr>
      <w:r w:rsidRPr="009564C3">
        <w:rPr>
          <w:b/>
          <w:sz w:val="24"/>
          <w:lang w:val="sl-SI"/>
        </w:rPr>
        <w:t xml:space="preserve">Predlog </w:t>
      </w:r>
      <w:r w:rsidR="00961E41">
        <w:rPr>
          <w:b/>
          <w:sz w:val="24"/>
          <w:lang w:val="sl-SI"/>
        </w:rPr>
        <w:t>Z</w:t>
      </w:r>
      <w:r w:rsidRPr="007C6824">
        <w:rPr>
          <w:b/>
          <w:sz w:val="24"/>
          <w:lang w:val="sl-SI"/>
        </w:rPr>
        <w:t xml:space="preserve">akona o izvajanju </w:t>
      </w:r>
      <w:r w:rsidR="00946285">
        <w:rPr>
          <w:b/>
          <w:sz w:val="24"/>
          <w:lang w:val="sl-SI"/>
        </w:rPr>
        <w:t>U</w:t>
      </w:r>
      <w:r w:rsidRPr="007C6824">
        <w:rPr>
          <w:b/>
          <w:sz w:val="24"/>
          <w:lang w:val="sl-SI"/>
        </w:rPr>
        <w:t xml:space="preserve">redbe (EU) o </w:t>
      </w:r>
      <w:r w:rsidR="00961E41">
        <w:rPr>
          <w:b/>
          <w:sz w:val="24"/>
          <w:lang w:val="sl-SI"/>
        </w:rPr>
        <w:t>evropskem upravljanju podatkov</w:t>
      </w:r>
      <w:r w:rsidRPr="007C6824">
        <w:rPr>
          <w:b/>
          <w:sz w:val="24"/>
          <w:lang w:val="sl-SI"/>
        </w:rPr>
        <w:t xml:space="preserve"> – </w:t>
      </w:r>
      <w:r w:rsidR="00961E41">
        <w:rPr>
          <w:b/>
          <w:sz w:val="24"/>
          <w:lang w:val="sl-SI"/>
        </w:rPr>
        <w:t>redni</w:t>
      </w:r>
      <w:r w:rsidRPr="007C6824">
        <w:rPr>
          <w:b/>
          <w:sz w:val="24"/>
          <w:lang w:val="sl-SI"/>
        </w:rPr>
        <w:t xml:space="preserve"> postopek</w:t>
      </w:r>
      <w:r w:rsidRPr="009564C3">
        <w:rPr>
          <w:b/>
          <w:sz w:val="24"/>
          <w:lang w:val="sl-SI"/>
        </w:rPr>
        <w:t xml:space="preserve"> </w:t>
      </w:r>
    </w:p>
    <w:p w14:paraId="4163BB90" w14:textId="77777777" w:rsidR="00AF5D29" w:rsidRPr="009564C3" w:rsidRDefault="00AF5D29" w:rsidP="00694DC1">
      <w:pPr>
        <w:spacing w:line="240" w:lineRule="atLeast"/>
        <w:jc w:val="both"/>
        <w:rPr>
          <w:b/>
          <w:sz w:val="24"/>
          <w:u w:val="single"/>
          <w:lang w:val="sl-SI"/>
        </w:rPr>
      </w:pPr>
    </w:p>
    <w:p w14:paraId="2A1F52F7" w14:textId="77777777" w:rsidR="00AF5D29" w:rsidRPr="009564C3" w:rsidRDefault="00AF5D29" w:rsidP="00694DC1">
      <w:pPr>
        <w:spacing w:line="240" w:lineRule="atLeast"/>
        <w:jc w:val="both"/>
        <w:rPr>
          <w:b/>
          <w:sz w:val="22"/>
          <w:szCs w:val="22"/>
          <w:u w:val="single"/>
          <w:lang w:val="sl-SI"/>
        </w:rPr>
      </w:pPr>
    </w:p>
    <w:p w14:paraId="0EBE846E" w14:textId="77777777" w:rsidR="00AF5D29" w:rsidRPr="009564C3" w:rsidRDefault="00AF5D29" w:rsidP="00694DC1">
      <w:pPr>
        <w:spacing w:line="240" w:lineRule="atLeast"/>
        <w:jc w:val="both"/>
        <w:rPr>
          <w:b/>
          <w:sz w:val="22"/>
          <w:szCs w:val="22"/>
          <w:lang w:val="sl-SI"/>
        </w:rPr>
      </w:pPr>
      <w:r w:rsidRPr="009564C3">
        <w:rPr>
          <w:b/>
          <w:sz w:val="22"/>
          <w:szCs w:val="22"/>
          <w:lang w:val="sl-SI"/>
        </w:rPr>
        <w:t>I. UVOD</w:t>
      </w:r>
    </w:p>
    <w:p w14:paraId="3DEB3A5D" w14:textId="77777777" w:rsidR="00AF5D29" w:rsidRPr="009564C3" w:rsidRDefault="00AF5D29" w:rsidP="00694DC1">
      <w:pPr>
        <w:spacing w:line="240" w:lineRule="atLeast"/>
        <w:jc w:val="both"/>
        <w:rPr>
          <w:sz w:val="22"/>
          <w:szCs w:val="22"/>
          <w:lang w:val="sl-SI"/>
        </w:rPr>
      </w:pPr>
    </w:p>
    <w:p w14:paraId="042AE9CA" w14:textId="77777777" w:rsidR="00AF5D29" w:rsidRPr="009564C3" w:rsidRDefault="00AF5D29" w:rsidP="00694DC1">
      <w:pPr>
        <w:spacing w:line="240" w:lineRule="atLeast"/>
        <w:jc w:val="both"/>
        <w:rPr>
          <w:b/>
          <w:szCs w:val="20"/>
          <w:lang w:val="sl-SI"/>
        </w:rPr>
      </w:pPr>
      <w:r w:rsidRPr="009564C3">
        <w:rPr>
          <w:b/>
          <w:szCs w:val="20"/>
          <w:lang w:val="sl-SI"/>
        </w:rPr>
        <w:t>1. OCENA STANJA IN RAZLOGI ZA SPREJEM PREDLOGA ZAKONA</w:t>
      </w:r>
    </w:p>
    <w:p w14:paraId="27678203" w14:textId="7C2DE55F" w:rsidR="0048705E" w:rsidRPr="0048705E" w:rsidRDefault="00AF5D29" w:rsidP="00694DC1">
      <w:pPr>
        <w:spacing w:line="240" w:lineRule="atLeast"/>
        <w:jc w:val="both"/>
        <w:rPr>
          <w:szCs w:val="20"/>
          <w:lang w:val="sl-SI"/>
        </w:rPr>
      </w:pPr>
      <w:r w:rsidRPr="009564C3">
        <w:rPr>
          <w:b/>
          <w:szCs w:val="20"/>
          <w:lang w:val="sl-SI"/>
        </w:rPr>
        <w:t xml:space="preserve"> </w:t>
      </w:r>
    </w:p>
    <w:p w14:paraId="334619E3" w14:textId="77777777" w:rsidR="00EE796D" w:rsidRPr="00EE796D" w:rsidRDefault="00EE796D" w:rsidP="00EE796D">
      <w:pPr>
        <w:spacing w:line="240" w:lineRule="atLeast"/>
        <w:jc w:val="both"/>
        <w:rPr>
          <w:szCs w:val="20"/>
          <w:lang w:val="sl-SI"/>
        </w:rPr>
      </w:pPr>
      <w:r w:rsidRPr="00EE796D">
        <w:rPr>
          <w:szCs w:val="20"/>
          <w:lang w:val="sl-SI"/>
        </w:rPr>
        <w:t>Ko govorimo o prehodu v digitalno družbo, so podatki eden od ključnih elementov tega prehoda. Podatki predstavljajo ključno sestavino za gospodarsko rast, konkurenčnost, inovacije, kreiranje služb in družbeni napredek. Evropska strategija za podatke skupaj z Belo knjigo o umetni inteligenci tvori prvi steber Digitalne strategije Evropske unije (v nadaljnjem besedilu: EU). Njen cilj je zagotoviti enotni trg podatkov in razvoj podatkovnega gospodarstva, ki stremi k povečanemu razvoju izdelkov na podlagi podatkov in k povpraševanju po njih po vsem enotnem trgu.</w:t>
      </w:r>
    </w:p>
    <w:p w14:paraId="0E57EC20" w14:textId="77777777" w:rsidR="00EE796D" w:rsidRPr="00EE796D" w:rsidRDefault="00EE796D" w:rsidP="00EE796D">
      <w:pPr>
        <w:spacing w:line="240" w:lineRule="atLeast"/>
        <w:jc w:val="both"/>
        <w:rPr>
          <w:szCs w:val="20"/>
          <w:lang w:val="sl-SI"/>
        </w:rPr>
      </w:pPr>
    </w:p>
    <w:p w14:paraId="235BF34E" w14:textId="18A3205A" w:rsidR="00EE796D" w:rsidRPr="00EE796D" w:rsidRDefault="00EE796D" w:rsidP="00EE796D">
      <w:pPr>
        <w:spacing w:line="240" w:lineRule="atLeast"/>
        <w:jc w:val="both"/>
        <w:rPr>
          <w:szCs w:val="20"/>
          <w:lang w:val="sl-SI"/>
        </w:rPr>
      </w:pPr>
      <w:r w:rsidRPr="00EE796D">
        <w:rPr>
          <w:szCs w:val="20"/>
          <w:lang w:val="sl-SI"/>
        </w:rPr>
        <w:t xml:space="preserve">Z Uredbo (EU) 2022/868 Evropskega parlamenta in Sveta z dne 30. maja 2022 o evropskem upravljanju podatkov in spremembi Uredbe (EU) 2018/1724 (UL L št. 152 z dne 3. junija 2022, str. 1; v nadaljnjem besedilu: Uredba 2022/868/EU) se ureja pogoje za ponovno uporabo nekaterih kategorij podatkov, ki jih hranijo organi javnega sektorja, znotraj EU, priglasitveni in nadzorni okvir za opravljanje storitve posredovanja podatkov (preko ponudnikov storitev posredovanja podatkov), okvir za prostovoljno registracijo subjektov, ki zbirajo in obdelujejo podatke, dane na voljo v altruistične namene (ter podatkovni altruizem) in okvir za vzpostavitev Evropskega odbora za podatkovne inovacije.  </w:t>
      </w:r>
    </w:p>
    <w:p w14:paraId="4D2D7C37" w14:textId="77777777" w:rsidR="00EE796D" w:rsidRPr="00EE796D" w:rsidRDefault="00EE796D" w:rsidP="00EE796D">
      <w:pPr>
        <w:spacing w:line="240" w:lineRule="atLeast"/>
        <w:jc w:val="both"/>
        <w:rPr>
          <w:szCs w:val="20"/>
          <w:lang w:val="sl-SI"/>
        </w:rPr>
      </w:pPr>
    </w:p>
    <w:p w14:paraId="5631DECA" w14:textId="451CDBEF" w:rsidR="00CA57E8" w:rsidRPr="00EE796D" w:rsidRDefault="00EE796D" w:rsidP="00EE796D">
      <w:pPr>
        <w:spacing w:line="240" w:lineRule="atLeast"/>
        <w:jc w:val="both"/>
        <w:rPr>
          <w:szCs w:val="20"/>
          <w:lang w:val="sl-SI"/>
        </w:rPr>
      </w:pPr>
      <w:r w:rsidRPr="00EE796D">
        <w:rPr>
          <w:szCs w:val="20"/>
          <w:lang w:val="sl-SI"/>
        </w:rPr>
        <w:t>Med nekatere kategorije podatkov, ki jih hranijo organi javnega sektorja (v nadaljnjem besedilu: zaščiteni podatki javnega sektorja) skladno s 3. členom Uredbe 2022/868/EU, sodijo:</w:t>
      </w:r>
    </w:p>
    <w:p w14:paraId="3BF4B646" w14:textId="77777777" w:rsidR="00EE796D" w:rsidRPr="00EE796D" w:rsidRDefault="00EE796D" w:rsidP="006E5D8B">
      <w:pPr>
        <w:pStyle w:val="Odstavekseznama"/>
        <w:numPr>
          <w:ilvl w:val="0"/>
          <w:numId w:val="27"/>
        </w:numPr>
        <w:spacing w:line="240" w:lineRule="atLeast"/>
        <w:contextualSpacing/>
        <w:jc w:val="both"/>
        <w:rPr>
          <w:szCs w:val="20"/>
          <w:lang w:val="sl-SI"/>
        </w:rPr>
      </w:pPr>
      <w:r w:rsidRPr="00EE796D">
        <w:rPr>
          <w:szCs w:val="20"/>
          <w:lang w:val="sl-SI"/>
        </w:rPr>
        <w:t>poslovne zaupnosti, vključno s poslovnimi in poklicnimi skrivnostmi ter skrivnostmi podjetja;</w:t>
      </w:r>
    </w:p>
    <w:p w14:paraId="36016A7B" w14:textId="77777777" w:rsidR="00EE796D" w:rsidRPr="00EE796D" w:rsidRDefault="00EE796D" w:rsidP="006E5D8B">
      <w:pPr>
        <w:pStyle w:val="Odstavekseznama"/>
        <w:numPr>
          <w:ilvl w:val="0"/>
          <w:numId w:val="27"/>
        </w:numPr>
        <w:spacing w:line="240" w:lineRule="atLeast"/>
        <w:contextualSpacing/>
        <w:jc w:val="both"/>
        <w:rPr>
          <w:szCs w:val="20"/>
          <w:lang w:val="sl-SI"/>
        </w:rPr>
      </w:pPr>
      <w:r w:rsidRPr="00EE796D">
        <w:rPr>
          <w:szCs w:val="20"/>
          <w:lang w:val="sl-SI"/>
        </w:rPr>
        <w:t>statistične zaupnosti;</w:t>
      </w:r>
    </w:p>
    <w:p w14:paraId="6F5EBC5C" w14:textId="77777777" w:rsidR="00EE796D" w:rsidRPr="00EE796D" w:rsidRDefault="00EE796D" w:rsidP="006E5D8B">
      <w:pPr>
        <w:pStyle w:val="Odstavekseznama"/>
        <w:numPr>
          <w:ilvl w:val="0"/>
          <w:numId w:val="27"/>
        </w:numPr>
        <w:spacing w:line="240" w:lineRule="atLeast"/>
        <w:contextualSpacing/>
        <w:jc w:val="both"/>
        <w:rPr>
          <w:szCs w:val="20"/>
          <w:lang w:val="sl-SI"/>
        </w:rPr>
      </w:pPr>
      <w:r w:rsidRPr="00EE796D">
        <w:rPr>
          <w:szCs w:val="20"/>
          <w:lang w:val="sl-SI"/>
        </w:rPr>
        <w:t>varstvo pravic intelektualne lastnine tretjih oseb ali</w:t>
      </w:r>
    </w:p>
    <w:p w14:paraId="206D00CC" w14:textId="76935FE6" w:rsidR="00EE796D" w:rsidRPr="00EE796D" w:rsidRDefault="00EE796D" w:rsidP="006E5D8B">
      <w:pPr>
        <w:pStyle w:val="Odstavekseznama"/>
        <w:numPr>
          <w:ilvl w:val="0"/>
          <w:numId w:val="27"/>
        </w:numPr>
        <w:spacing w:line="240" w:lineRule="atLeast"/>
        <w:contextualSpacing/>
        <w:jc w:val="both"/>
        <w:rPr>
          <w:szCs w:val="20"/>
          <w:lang w:val="sl-SI"/>
        </w:rPr>
      </w:pPr>
      <w:r w:rsidRPr="00EE796D">
        <w:rPr>
          <w:szCs w:val="20"/>
          <w:lang w:val="sl-SI"/>
        </w:rPr>
        <w:t xml:space="preserve">varstvo osebnih podatkov, če taki podatki ne spadajo na področje uporabe Direktive (EU) 2019/1024 Evropskega parlamenta in Sveta z dne 20. junija 2019 o odprtih podatkih in ponovni uporabi informacij javnega sektorja </w:t>
      </w:r>
      <w:r>
        <w:rPr>
          <w:szCs w:val="20"/>
          <w:lang w:val="sl-SI"/>
        </w:rPr>
        <w:t>(</w:t>
      </w:r>
      <w:r w:rsidR="005A0FBA">
        <w:rPr>
          <w:szCs w:val="20"/>
          <w:lang w:val="sl-SI"/>
        </w:rPr>
        <w:t>UL L št. 172 z dne 26. junija 2019, str. 56).</w:t>
      </w:r>
    </w:p>
    <w:p w14:paraId="6FDAE79F" w14:textId="77777777" w:rsidR="00EE796D" w:rsidRPr="00EE796D" w:rsidRDefault="00EE796D" w:rsidP="00EE796D">
      <w:pPr>
        <w:spacing w:line="240" w:lineRule="atLeast"/>
        <w:jc w:val="both"/>
        <w:rPr>
          <w:szCs w:val="20"/>
          <w:lang w:val="sl-SI"/>
        </w:rPr>
      </w:pPr>
    </w:p>
    <w:p w14:paraId="1931528A" w14:textId="66CF2C73" w:rsidR="00EE796D" w:rsidRPr="00EE796D" w:rsidRDefault="00EE796D" w:rsidP="00EE796D">
      <w:pPr>
        <w:spacing w:line="240" w:lineRule="atLeast"/>
        <w:jc w:val="both"/>
        <w:rPr>
          <w:rFonts w:cs="Arial"/>
          <w:szCs w:val="20"/>
          <w:lang w:val="sl-SI"/>
        </w:rPr>
      </w:pPr>
      <w:r w:rsidRPr="00EE796D">
        <w:rPr>
          <w:rFonts w:cs="Arial"/>
          <w:szCs w:val="20"/>
          <w:lang w:val="sl-SI"/>
        </w:rPr>
        <w:t>Gre za nov zakonodajni okvir EU za urejanje izmenjave in ponovne uporabe podatkov, ki sicer izhaja iz obstoječih pravnih temeljev za izmenjavo podatkov (npr. soglasje v skladu z Uredbo (EU) 2016/679 Evropskega parlamenta in Sveta z dne 27. aprila 2016 o varstvu posameznikov pri obdelavi osebnih podatkov in o prostem pretoku takih podatkov ter o razveljavitvi Direktive 95/46/ES (Splošna uredba o varstvu podatkov; v nadaljnjem besedilu: GDPR). Z Uredbo 2022/868/EU se vzpostavlja vrsta novih mehanizmov, s pomočjo katerih bodo podatke lahko upravljali tako posamezniki kot tudi podjetja. Za EU to predstavlja izziv za pospešitev razvoja uspešnega podatkovnega gospodarstva in dosego vodilnega položaja v okolju velikih tehnoloških platform.</w:t>
      </w:r>
    </w:p>
    <w:p w14:paraId="143824F1" w14:textId="77777777" w:rsidR="00EE796D" w:rsidRPr="00EE796D" w:rsidRDefault="00EE796D" w:rsidP="00EE796D">
      <w:pPr>
        <w:spacing w:line="240" w:lineRule="atLeast"/>
        <w:jc w:val="both"/>
        <w:rPr>
          <w:rFonts w:cs="Arial"/>
          <w:szCs w:val="20"/>
          <w:highlight w:val="yellow"/>
          <w:lang w:val="sl-SI"/>
        </w:rPr>
      </w:pPr>
    </w:p>
    <w:p w14:paraId="48EDFCDA" w14:textId="77777777" w:rsidR="00EE796D" w:rsidRPr="00EE796D" w:rsidRDefault="00EE796D" w:rsidP="00EE796D">
      <w:pPr>
        <w:spacing w:line="240" w:lineRule="atLeast"/>
        <w:jc w:val="both"/>
        <w:rPr>
          <w:rFonts w:cs="Arial"/>
          <w:szCs w:val="20"/>
          <w:lang w:val="sl-SI"/>
        </w:rPr>
      </w:pPr>
      <w:r w:rsidRPr="00EE796D">
        <w:rPr>
          <w:rFonts w:cs="Arial"/>
          <w:szCs w:val="20"/>
          <w:lang w:val="sl-SI"/>
        </w:rPr>
        <w:t xml:space="preserve">Ne glede na to da je Uredba 2022/868/EU neposredno uporabljiva, pa je za njeno izvajanje treba sprejeti nacionalni predpis, s katerim se bodo določili pristojni organi za izvajanje in nadzor nad </w:t>
      </w:r>
      <w:r w:rsidRPr="00EE796D">
        <w:rPr>
          <w:rFonts w:cs="Arial"/>
          <w:szCs w:val="20"/>
          <w:lang w:val="sl-SI"/>
        </w:rPr>
        <w:lastRenderedPageBreak/>
        <w:t xml:space="preserve">izvajanjem Uredbe 2022/868/EU. Pristojnim organom je potrebno določiti njihova pooblastila ter nadzorne ukrepe, prekrške in sankcije za izvajanje Uredbe 2022/868/EU. </w:t>
      </w:r>
    </w:p>
    <w:p w14:paraId="5174A7C7" w14:textId="77777777" w:rsidR="00EE796D" w:rsidRPr="009564C3" w:rsidRDefault="00EE796D" w:rsidP="00EE796D">
      <w:pPr>
        <w:spacing w:line="240" w:lineRule="atLeast"/>
        <w:jc w:val="both"/>
        <w:rPr>
          <w:szCs w:val="20"/>
          <w:lang w:val="sl-SI"/>
        </w:rPr>
      </w:pPr>
    </w:p>
    <w:p w14:paraId="4A5719EF" w14:textId="77777777" w:rsidR="00AF5D29" w:rsidRPr="009564C3" w:rsidRDefault="00AF5D29" w:rsidP="00694DC1">
      <w:pPr>
        <w:spacing w:line="240" w:lineRule="atLeast"/>
        <w:jc w:val="both"/>
        <w:rPr>
          <w:szCs w:val="20"/>
          <w:lang w:val="sl-SI"/>
        </w:rPr>
      </w:pPr>
    </w:p>
    <w:p w14:paraId="0A8AC237" w14:textId="77777777" w:rsidR="00AF5D29" w:rsidRPr="009564C3" w:rsidRDefault="00AF5D29" w:rsidP="00694DC1">
      <w:pPr>
        <w:spacing w:line="240" w:lineRule="atLeast"/>
        <w:jc w:val="both"/>
        <w:rPr>
          <w:b/>
          <w:szCs w:val="20"/>
          <w:lang w:val="sl-SI"/>
        </w:rPr>
      </w:pPr>
      <w:r w:rsidRPr="009564C3">
        <w:rPr>
          <w:b/>
          <w:szCs w:val="20"/>
          <w:lang w:val="sl-SI"/>
        </w:rPr>
        <w:t>2. CILJI, NAČELA IN POGLAVITNE REŠITVE PREDLOGA ZAKONA</w:t>
      </w:r>
    </w:p>
    <w:p w14:paraId="08496A09" w14:textId="77777777" w:rsidR="00AF5D29" w:rsidRPr="009564C3" w:rsidRDefault="00AF5D29" w:rsidP="00694DC1">
      <w:pPr>
        <w:spacing w:line="240" w:lineRule="atLeast"/>
        <w:jc w:val="both"/>
        <w:rPr>
          <w:szCs w:val="20"/>
          <w:lang w:val="sl-SI"/>
        </w:rPr>
      </w:pPr>
    </w:p>
    <w:p w14:paraId="03759BA3" w14:textId="77777777" w:rsidR="00AF5D29" w:rsidRPr="009564C3" w:rsidRDefault="00AF5D29" w:rsidP="00694DC1">
      <w:pPr>
        <w:spacing w:line="240" w:lineRule="atLeast"/>
        <w:jc w:val="both"/>
        <w:rPr>
          <w:b/>
          <w:szCs w:val="20"/>
          <w:lang w:val="sl-SI"/>
        </w:rPr>
      </w:pPr>
      <w:r w:rsidRPr="009564C3">
        <w:rPr>
          <w:b/>
          <w:szCs w:val="20"/>
          <w:lang w:val="sl-SI"/>
        </w:rPr>
        <w:t>2.1 Cilji</w:t>
      </w:r>
    </w:p>
    <w:p w14:paraId="51E070D0" w14:textId="77777777" w:rsidR="00AF5D29" w:rsidRPr="009564C3" w:rsidRDefault="00AF5D29" w:rsidP="00694DC1">
      <w:pPr>
        <w:spacing w:line="240" w:lineRule="atLeast"/>
        <w:jc w:val="both"/>
        <w:rPr>
          <w:b/>
          <w:szCs w:val="20"/>
          <w:lang w:val="sl-SI"/>
        </w:rPr>
      </w:pPr>
    </w:p>
    <w:p w14:paraId="11B12036" w14:textId="5BFAADA8" w:rsidR="00AF5D29" w:rsidRDefault="00EE796D" w:rsidP="00694DC1">
      <w:pPr>
        <w:spacing w:line="240" w:lineRule="atLeast"/>
        <w:jc w:val="both"/>
        <w:rPr>
          <w:szCs w:val="20"/>
          <w:lang w:val="sl-SI"/>
        </w:rPr>
      </w:pPr>
      <w:r w:rsidRPr="00EE796D">
        <w:rPr>
          <w:szCs w:val="20"/>
          <w:lang w:val="sl-SI"/>
        </w:rPr>
        <w:t>Cilj predloga zakona je prilagoditev nacionalne zakonodaje določbam Uredbe 2022/868/EU, tj. da se imenuje pristojne organe in jim dodeli ustrezna pooblastila za opravljanje nalog, kot so opredeljene v Uredbi 2022/2065/EU, in tako tudi sledi ciljem uredbe, ki oblikuje okvir za upravljanje podatkov. Ta okvir je tudi temelj za delovanje podatkovno vodenega gospodarstva, ki bo postalo vključujoče za vse državljane EU ter tudi bi okrepilo inovativnost ter gospodarstvo EU. Uredba 2022/868/EU sledi Evropski strategiji za podatke</w:t>
      </w:r>
      <w:r w:rsidR="00900FE4">
        <w:rPr>
          <w:rStyle w:val="Sprotnaopomba-sklic"/>
          <w:szCs w:val="20"/>
          <w:lang w:val="sl-SI"/>
        </w:rPr>
        <w:footnoteReference w:id="2"/>
      </w:r>
      <w:r w:rsidRPr="00EE796D">
        <w:rPr>
          <w:szCs w:val="20"/>
          <w:lang w:val="sl-SI"/>
        </w:rPr>
        <w:t xml:space="preserve"> in vzpostavitvi skupnega evropskega podatkovnega prostora.</w:t>
      </w:r>
    </w:p>
    <w:p w14:paraId="13860CBB" w14:textId="77777777" w:rsidR="00EE796D" w:rsidRDefault="00EE796D" w:rsidP="00694DC1">
      <w:pPr>
        <w:spacing w:line="240" w:lineRule="atLeast"/>
        <w:jc w:val="both"/>
        <w:rPr>
          <w:szCs w:val="20"/>
          <w:lang w:val="sl-SI"/>
        </w:rPr>
      </w:pPr>
    </w:p>
    <w:p w14:paraId="54E23B54" w14:textId="77777777" w:rsidR="00EE796D" w:rsidRPr="009564C3" w:rsidRDefault="00EE796D" w:rsidP="00694DC1">
      <w:pPr>
        <w:spacing w:line="240" w:lineRule="atLeast"/>
        <w:jc w:val="both"/>
        <w:rPr>
          <w:szCs w:val="20"/>
          <w:lang w:val="sl-SI"/>
        </w:rPr>
      </w:pPr>
    </w:p>
    <w:p w14:paraId="532D6519" w14:textId="77777777" w:rsidR="00AF5D29" w:rsidRPr="009564C3" w:rsidRDefault="00AF5D29" w:rsidP="00694DC1">
      <w:pPr>
        <w:spacing w:line="240" w:lineRule="atLeast"/>
        <w:jc w:val="both"/>
        <w:rPr>
          <w:b/>
          <w:szCs w:val="20"/>
          <w:lang w:val="sl-SI"/>
        </w:rPr>
      </w:pPr>
      <w:r w:rsidRPr="009564C3">
        <w:rPr>
          <w:b/>
          <w:szCs w:val="20"/>
          <w:lang w:val="sl-SI"/>
        </w:rPr>
        <w:t>2.2 Načela</w:t>
      </w:r>
    </w:p>
    <w:p w14:paraId="0F8C53BD" w14:textId="22A897EB" w:rsidR="00AF5D29" w:rsidRDefault="00AF5D29" w:rsidP="00694DC1">
      <w:pPr>
        <w:spacing w:line="240" w:lineRule="atLeast"/>
        <w:jc w:val="both"/>
        <w:rPr>
          <w:szCs w:val="20"/>
          <w:lang w:val="sl-SI"/>
        </w:rPr>
      </w:pPr>
    </w:p>
    <w:p w14:paraId="5D2A73E1" w14:textId="601EA95B" w:rsidR="004C172C" w:rsidRDefault="00705F0C" w:rsidP="00694DC1">
      <w:pPr>
        <w:spacing w:line="240" w:lineRule="atLeast"/>
        <w:jc w:val="both"/>
        <w:rPr>
          <w:szCs w:val="20"/>
          <w:lang w:val="sl-SI"/>
        </w:rPr>
      </w:pPr>
      <w:r w:rsidRPr="00705F0C">
        <w:rPr>
          <w:szCs w:val="20"/>
          <w:lang w:val="sl-SI"/>
        </w:rPr>
        <w:t>Zakonski predlog vsebinsko uresničuje načela, ki izhajajo že iz Uredbe 2022/868/EU, in sicer načela, da naj bi podatki, ki so jih ustvarili ali zbrali organi javnega sektorja ali drugi subjekti proračunskih sredstev, koristili družbi. Kategorije podatkov, glede katerih Uredba 2022/868/EU predvideva ponovno uporabo, to so zaupni poslovni podatki, vključno s poslovnimi skrivnostmi, podatki, za katere velja statistična zaupnost, podatki, varovani s pravicami intelektualne lastnine tretjih oseb, in osebni podatki v bazah podatkov, ki jih hranijo organi javnega sektorja, ter so občutljive narave, zato morajo biti preden se dajo na razpolago, izpolnjene nekatere tehnične in postopkovne zahteve, tudi zato, da bi zagotovili spoštovanje pravic, ki jih imajo do takih podatkov druge osebe, ali omejili negativne učinke na temeljne pravice, načelo nediskriminacije in varstvo podatkov. Predlog hkrati sledi spoštovanju načel objektivnosti, nediskriminacije, preglednosti in sorazmernosti ter zasleduje tudi prispevanje h kar največjemu zmanjševanju administrativnih ovir. Predlog zakona tako sledi tudi načelom pravne varnosti z zagotavljanjem jasnosti in predvidljivosti ureditve ob zagotovitvi spoštovanja človekovih pravic.</w:t>
      </w:r>
    </w:p>
    <w:p w14:paraId="18AB7114" w14:textId="77777777" w:rsidR="00705F0C" w:rsidRPr="009564C3" w:rsidRDefault="00705F0C" w:rsidP="00694DC1">
      <w:pPr>
        <w:spacing w:line="240" w:lineRule="atLeast"/>
        <w:jc w:val="both"/>
        <w:rPr>
          <w:szCs w:val="20"/>
          <w:lang w:val="sl-SI"/>
        </w:rPr>
      </w:pPr>
    </w:p>
    <w:p w14:paraId="2B8C68B9" w14:textId="77777777" w:rsidR="00AF5D29" w:rsidRPr="009564C3" w:rsidRDefault="00AF5D29" w:rsidP="00694DC1">
      <w:pPr>
        <w:spacing w:line="240" w:lineRule="atLeast"/>
        <w:jc w:val="center"/>
        <w:rPr>
          <w:szCs w:val="20"/>
          <w:lang w:val="sl-SI"/>
        </w:rPr>
      </w:pPr>
    </w:p>
    <w:p w14:paraId="449A49E3" w14:textId="77777777" w:rsidR="00AF5D29" w:rsidRPr="009564C3" w:rsidRDefault="00AF5D29" w:rsidP="00694DC1">
      <w:pPr>
        <w:spacing w:line="240" w:lineRule="atLeast"/>
        <w:jc w:val="both"/>
        <w:rPr>
          <w:b/>
          <w:szCs w:val="20"/>
          <w:lang w:val="sl-SI"/>
        </w:rPr>
      </w:pPr>
      <w:r w:rsidRPr="009564C3">
        <w:rPr>
          <w:b/>
          <w:szCs w:val="20"/>
          <w:lang w:val="sl-SI"/>
        </w:rPr>
        <w:t>2.3 Poglavitne rešitve</w:t>
      </w:r>
    </w:p>
    <w:p w14:paraId="6E116AA5" w14:textId="77777777" w:rsidR="00AF5D29" w:rsidRPr="009564C3" w:rsidRDefault="00AF5D29" w:rsidP="00694DC1">
      <w:pPr>
        <w:spacing w:line="240" w:lineRule="atLeast"/>
        <w:jc w:val="both"/>
        <w:rPr>
          <w:b/>
          <w:szCs w:val="20"/>
          <w:lang w:val="sl-SI"/>
        </w:rPr>
      </w:pPr>
    </w:p>
    <w:p w14:paraId="72A28C70" w14:textId="77777777" w:rsidR="00A223B2" w:rsidRPr="00A223B2" w:rsidRDefault="00A223B2" w:rsidP="00A223B2">
      <w:pPr>
        <w:spacing w:line="240" w:lineRule="atLeast"/>
        <w:jc w:val="both"/>
        <w:rPr>
          <w:szCs w:val="20"/>
          <w:lang w:val="sl-SI"/>
        </w:rPr>
      </w:pPr>
      <w:r w:rsidRPr="00A223B2">
        <w:rPr>
          <w:szCs w:val="20"/>
          <w:lang w:val="sl-SI"/>
        </w:rPr>
        <w:t>Poglavitne rešitve predloga zakona so predlagane z namenom prilagoditve nacionalne zakonodaje določbam Uredbe 2022/868/EU, in sicer:</w:t>
      </w:r>
    </w:p>
    <w:p w14:paraId="60F2A051" w14:textId="38275C1C" w:rsidR="00A223B2" w:rsidRPr="00A223B2" w:rsidRDefault="00A223B2" w:rsidP="006E5D8B">
      <w:pPr>
        <w:pStyle w:val="Odstavekseznama"/>
        <w:numPr>
          <w:ilvl w:val="0"/>
          <w:numId w:val="26"/>
        </w:numPr>
        <w:spacing w:line="240" w:lineRule="atLeast"/>
        <w:jc w:val="both"/>
        <w:rPr>
          <w:szCs w:val="20"/>
          <w:lang w:val="sl-SI"/>
        </w:rPr>
      </w:pPr>
      <w:r w:rsidRPr="00A223B2">
        <w:rPr>
          <w:szCs w:val="20"/>
          <w:lang w:val="sl-SI"/>
        </w:rPr>
        <w:t>imenovanje ministrstva, pristojnega za digitalno preobrazbo, kot enotne informacijske točke v zvezi s ponovno uporabo zaščitenih podatkov javnega sektorja in kot  pristojnega  organa, ki  pomaga organom javnega sektorja, ki odobrijo ali zavrnejo zahtevo za ponovno uporabo zaščitenih podatkov javnega sektorja (2. člen predloga zakona),</w:t>
      </w:r>
    </w:p>
    <w:p w14:paraId="56FD388A" w14:textId="40A64A9A" w:rsidR="00A223B2" w:rsidRPr="00A223B2" w:rsidRDefault="00A223B2" w:rsidP="006E5D8B">
      <w:pPr>
        <w:pStyle w:val="Odstavekseznama"/>
        <w:numPr>
          <w:ilvl w:val="0"/>
          <w:numId w:val="26"/>
        </w:numPr>
        <w:spacing w:line="240" w:lineRule="atLeast"/>
        <w:jc w:val="both"/>
        <w:rPr>
          <w:szCs w:val="20"/>
          <w:lang w:val="sl-SI"/>
        </w:rPr>
      </w:pPr>
      <w:r w:rsidRPr="00A223B2">
        <w:rPr>
          <w:szCs w:val="20"/>
          <w:lang w:val="sl-SI"/>
        </w:rPr>
        <w:t>dodelitev pristojnosti pritožbenega organa Informacijskemu pooblaščencu za odločanje o pritožbah zoper odločbe organov javnega sektorja, ki odobrijo ali zavrnejo zahtevo za ponovno uporabo zaščitenih podatkov javnega sektorja (5. člen predloga zakona),</w:t>
      </w:r>
    </w:p>
    <w:p w14:paraId="4B6EDC4D" w14:textId="1AC0E004" w:rsidR="00A223B2" w:rsidRPr="00A223B2" w:rsidRDefault="00A223B2" w:rsidP="006E5D8B">
      <w:pPr>
        <w:pStyle w:val="Odstavekseznama"/>
        <w:numPr>
          <w:ilvl w:val="0"/>
          <w:numId w:val="26"/>
        </w:numPr>
        <w:spacing w:line="240" w:lineRule="atLeast"/>
        <w:jc w:val="both"/>
        <w:rPr>
          <w:szCs w:val="20"/>
          <w:lang w:val="sl-SI"/>
        </w:rPr>
      </w:pPr>
      <w:r w:rsidRPr="00A223B2">
        <w:rPr>
          <w:szCs w:val="20"/>
          <w:lang w:val="sl-SI"/>
        </w:rPr>
        <w:t>imenovanje ministrstva, pristojnega za digitalno preobrazbo, kot organa pristojnega za izvedbo nalog v zvezi s priglasitvenim postopkom za storitve posredovanja podatkov za izvajanje Uredbe 2022/868/EU (10. člen predloga zakona),</w:t>
      </w:r>
    </w:p>
    <w:p w14:paraId="77064B76" w14:textId="6EF4B9F1" w:rsidR="00A223B2" w:rsidRPr="00A223B2" w:rsidRDefault="00A223B2" w:rsidP="006E5D8B">
      <w:pPr>
        <w:pStyle w:val="Odstavekseznama"/>
        <w:numPr>
          <w:ilvl w:val="0"/>
          <w:numId w:val="26"/>
        </w:numPr>
        <w:spacing w:line="240" w:lineRule="atLeast"/>
        <w:jc w:val="both"/>
        <w:rPr>
          <w:szCs w:val="20"/>
          <w:lang w:val="sl-SI"/>
        </w:rPr>
      </w:pPr>
      <w:r w:rsidRPr="00A223B2">
        <w:rPr>
          <w:szCs w:val="20"/>
          <w:lang w:val="sl-SI"/>
        </w:rPr>
        <w:t>imenovanje ministrstva, pristojnega za nevladne organizacije, kot organa odgovornega za javni nacionalni register priznanih organizacij za podatkovni altruizem (13. člen predloga zakona),</w:t>
      </w:r>
    </w:p>
    <w:p w14:paraId="4789F7BC" w14:textId="151E297D" w:rsidR="00A223B2" w:rsidRPr="00A223B2" w:rsidRDefault="00A223B2" w:rsidP="006E5D8B">
      <w:pPr>
        <w:pStyle w:val="Odstavekseznama"/>
        <w:numPr>
          <w:ilvl w:val="0"/>
          <w:numId w:val="26"/>
        </w:numPr>
        <w:spacing w:line="240" w:lineRule="atLeast"/>
        <w:jc w:val="both"/>
        <w:rPr>
          <w:szCs w:val="20"/>
          <w:lang w:val="sl-SI"/>
        </w:rPr>
      </w:pPr>
      <w:r w:rsidRPr="00A223B2">
        <w:rPr>
          <w:szCs w:val="20"/>
          <w:lang w:val="sl-SI"/>
        </w:rPr>
        <w:t>imenovanje inšpekcije za informacijsko družbo kot pristojnega organa za izvajanje nadzora nad izvajanjem Uredbe 2022/868/EU, delegiranih aktov in tega zakona (16. člen predloga zakona),</w:t>
      </w:r>
    </w:p>
    <w:p w14:paraId="3F7E91E3" w14:textId="638E07D7" w:rsidR="008C6EC3" w:rsidRPr="00A223B2" w:rsidRDefault="00A223B2" w:rsidP="006E5D8B">
      <w:pPr>
        <w:pStyle w:val="Odstavekseznama"/>
        <w:numPr>
          <w:ilvl w:val="0"/>
          <w:numId w:val="26"/>
        </w:numPr>
        <w:spacing w:line="240" w:lineRule="atLeast"/>
        <w:jc w:val="both"/>
        <w:rPr>
          <w:lang w:val="sl-SI"/>
        </w:rPr>
      </w:pPr>
      <w:r w:rsidRPr="00A223B2">
        <w:rPr>
          <w:szCs w:val="20"/>
          <w:lang w:val="sl-SI"/>
        </w:rPr>
        <w:t>določanje prekrškov in sankcij za izvajanje Uredbe 2022/868/EU.</w:t>
      </w:r>
    </w:p>
    <w:p w14:paraId="31440645" w14:textId="71FDA69B" w:rsidR="0067731B" w:rsidRDefault="0067731B" w:rsidP="00694DC1">
      <w:pPr>
        <w:spacing w:line="240" w:lineRule="atLeast"/>
        <w:jc w:val="both"/>
        <w:rPr>
          <w:lang w:val="sl-SI"/>
        </w:rPr>
      </w:pPr>
    </w:p>
    <w:p w14:paraId="3791F940" w14:textId="77777777" w:rsidR="00D41CB9" w:rsidRDefault="00D41CB9" w:rsidP="00694DC1">
      <w:pPr>
        <w:spacing w:line="240" w:lineRule="atLeast"/>
        <w:jc w:val="both"/>
        <w:rPr>
          <w:b/>
          <w:bCs/>
          <w:szCs w:val="20"/>
          <w:lang w:val="sl-SI"/>
        </w:rPr>
      </w:pPr>
    </w:p>
    <w:p w14:paraId="0E697325" w14:textId="77777777" w:rsidR="00D41CB9" w:rsidRPr="009564C3" w:rsidRDefault="00D41CB9" w:rsidP="00694DC1">
      <w:pPr>
        <w:spacing w:line="240" w:lineRule="atLeast"/>
        <w:jc w:val="both"/>
        <w:rPr>
          <w:b/>
          <w:bCs/>
          <w:szCs w:val="20"/>
          <w:lang w:val="sl-SI"/>
        </w:rPr>
      </w:pPr>
    </w:p>
    <w:p w14:paraId="1B76C10D" w14:textId="036848E6" w:rsidR="00AF5D29" w:rsidRPr="009564C3" w:rsidRDefault="00AF5D29" w:rsidP="00694DC1">
      <w:pPr>
        <w:spacing w:line="240" w:lineRule="atLeast"/>
        <w:jc w:val="both"/>
        <w:rPr>
          <w:b/>
          <w:szCs w:val="20"/>
          <w:lang w:val="sl-SI"/>
        </w:rPr>
      </w:pPr>
      <w:r w:rsidRPr="009564C3">
        <w:rPr>
          <w:b/>
          <w:szCs w:val="20"/>
          <w:lang w:val="sl-SI"/>
        </w:rPr>
        <w:t>3. OCENA FINANČNIH POSLEDIC PREDLOGA ZAKONA ZA DRŽAVNI PRORAČUN IN DRUGA JAVNA FINANČNA SREDSTVA</w:t>
      </w:r>
    </w:p>
    <w:p w14:paraId="35D8D81B" w14:textId="77777777" w:rsidR="00AF5D29" w:rsidRPr="009564C3" w:rsidRDefault="00AF5D29" w:rsidP="00694DC1">
      <w:pPr>
        <w:spacing w:line="240" w:lineRule="atLeast"/>
        <w:jc w:val="both"/>
        <w:rPr>
          <w:b/>
          <w:szCs w:val="20"/>
          <w:lang w:val="sl-SI"/>
        </w:rPr>
      </w:pPr>
    </w:p>
    <w:p w14:paraId="0C1DF780" w14:textId="39351F5D" w:rsidR="00310A0F" w:rsidRPr="00310A0F" w:rsidRDefault="00B66214" w:rsidP="00310A0F">
      <w:pPr>
        <w:jc w:val="both"/>
        <w:rPr>
          <w:lang w:val="sl-SI"/>
        </w:rPr>
      </w:pPr>
      <w:r w:rsidRPr="00B66214">
        <w:rPr>
          <w:rFonts w:cs="Arial"/>
          <w:szCs w:val="20"/>
          <w:lang w:val="sl-SI" w:eastAsia="sl-SI"/>
        </w:rPr>
        <w:t xml:space="preserve">Glede na parlamentarne postopke sprejemanja zakona konec leta 2024, bodo predvidoma prve finančne posledice zakona nastale v začetku 2025. V sprejetem proračunu 2025 sredstva za zakon niso zagotovljena, saj smo pri planiranju predloga proračuna 2025 upoštevali zgolj sprejete zakonske predpise in njihove finančne posledice. </w:t>
      </w:r>
      <w:r w:rsidR="00310A0F" w:rsidRPr="00310A0F">
        <w:rPr>
          <w:rFonts w:cs="Arial"/>
          <w:szCs w:val="20"/>
          <w:lang w:val="sl-SI" w:eastAsia="sl-SI"/>
        </w:rPr>
        <w:t>V letu 2024 pri pripravi predloga proračuna 2025 ni bilo možno planirati morebitnih novih zakonskih obveznosti, ki so bile šele v načrtu oziroma v pripravljalni fazi, saj je bil njihov sprejem s strani zakonodajalca negotov, tako glede morebitnega amandmiranja kot tudi končnih finančnih posledic.</w:t>
      </w:r>
    </w:p>
    <w:p w14:paraId="0DF5AD59" w14:textId="77777777" w:rsidR="0039576E" w:rsidRPr="00310A0F" w:rsidRDefault="0039576E" w:rsidP="00293092">
      <w:pPr>
        <w:pStyle w:val="Oddelek"/>
        <w:numPr>
          <w:ilvl w:val="0"/>
          <w:numId w:val="0"/>
        </w:numPr>
        <w:spacing w:before="0" w:after="0" w:line="240" w:lineRule="atLeast"/>
        <w:ind w:right="-7"/>
        <w:jc w:val="both"/>
        <w:rPr>
          <w:sz w:val="20"/>
          <w:szCs w:val="20"/>
          <w:lang w:val="sl-SI"/>
        </w:rPr>
      </w:pPr>
    </w:p>
    <w:p w14:paraId="5C979E30" w14:textId="77777777" w:rsidR="00310A0F" w:rsidRPr="00310A0F" w:rsidRDefault="00310A0F" w:rsidP="00310A0F">
      <w:pPr>
        <w:pStyle w:val="Oddelek"/>
        <w:numPr>
          <w:ilvl w:val="0"/>
          <w:numId w:val="0"/>
        </w:numPr>
        <w:spacing w:before="0" w:after="0" w:line="240" w:lineRule="atLeast"/>
        <w:ind w:right="-7"/>
        <w:jc w:val="both"/>
        <w:rPr>
          <w:b w:val="0"/>
          <w:bCs/>
          <w:sz w:val="20"/>
          <w:szCs w:val="20"/>
          <w:lang w:val="sl-SI"/>
        </w:rPr>
      </w:pPr>
      <w:r w:rsidRPr="00310A0F">
        <w:rPr>
          <w:b w:val="0"/>
          <w:bCs/>
          <w:sz w:val="20"/>
          <w:szCs w:val="20"/>
          <w:lang w:val="sl-SI"/>
        </w:rPr>
        <w:t>Finančne posledice Zakona o izvajanju Uredbe (EU) o evropskem upravljanju podatkov se bodo uredile s spremembo proračuna 2025 in predloga proračuna 2026, ki sta v pripravi.</w:t>
      </w:r>
    </w:p>
    <w:p w14:paraId="260D0578" w14:textId="77777777" w:rsidR="00310A0F" w:rsidRPr="00310A0F" w:rsidRDefault="00310A0F" w:rsidP="00293092">
      <w:pPr>
        <w:pStyle w:val="Oddelek"/>
        <w:numPr>
          <w:ilvl w:val="0"/>
          <w:numId w:val="0"/>
        </w:numPr>
        <w:spacing w:before="0" w:after="0" w:line="240" w:lineRule="atLeast"/>
        <w:ind w:right="-7"/>
        <w:jc w:val="both"/>
        <w:rPr>
          <w:sz w:val="20"/>
          <w:szCs w:val="20"/>
          <w:lang w:val="sl-SI"/>
        </w:rPr>
      </w:pPr>
    </w:p>
    <w:p w14:paraId="4D200CBE" w14:textId="77777777" w:rsidR="00310A0F" w:rsidRPr="00310A0F" w:rsidRDefault="00310A0F" w:rsidP="00310A0F">
      <w:pPr>
        <w:pStyle w:val="Oddelek"/>
        <w:numPr>
          <w:ilvl w:val="0"/>
          <w:numId w:val="0"/>
        </w:numPr>
        <w:spacing w:before="0" w:after="0" w:line="240" w:lineRule="atLeast"/>
        <w:ind w:right="-7"/>
        <w:jc w:val="both"/>
        <w:rPr>
          <w:b w:val="0"/>
          <w:bCs/>
          <w:sz w:val="20"/>
          <w:szCs w:val="20"/>
          <w:lang w:val="sl-SI"/>
        </w:rPr>
      </w:pPr>
      <w:r w:rsidRPr="00310A0F">
        <w:rPr>
          <w:b w:val="0"/>
          <w:bCs/>
          <w:sz w:val="20"/>
          <w:szCs w:val="20"/>
          <w:lang w:val="sl-SI"/>
        </w:rPr>
        <w:t>Finančne posledice predloga zakona bodo nastale v zvezi:</w:t>
      </w:r>
    </w:p>
    <w:p w14:paraId="6195B12F" w14:textId="77777777" w:rsidR="00310A0F" w:rsidRPr="00310A0F" w:rsidRDefault="00310A0F" w:rsidP="006E5D8B">
      <w:pPr>
        <w:pStyle w:val="Oddelek"/>
        <w:numPr>
          <w:ilvl w:val="0"/>
          <w:numId w:val="28"/>
        </w:numPr>
        <w:spacing w:before="0" w:after="0" w:line="240" w:lineRule="atLeast"/>
        <w:ind w:right="-7"/>
        <w:jc w:val="both"/>
        <w:rPr>
          <w:b w:val="0"/>
          <w:sz w:val="20"/>
          <w:szCs w:val="20"/>
          <w:lang w:val="sl-SI"/>
        </w:rPr>
      </w:pPr>
      <w:r w:rsidRPr="00310A0F">
        <w:rPr>
          <w:b w:val="0"/>
          <w:sz w:val="20"/>
          <w:szCs w:val="20"/>
          <w:lang w:val="sl-SI"/>
        </w:rPr>
        <w:t xml:space="preserve">z vzpostavitvijo in delovanjem pristojnega organa za pomoč organom javnega sektorja, ki odobrijo ali zavrnejo zahtevo za ponovno uporabo zaščitenih podatkov javnega sektorja v skladu s 7. členom Uredbe 2022/868/EU, </w:t>
      </w:r>
    </w:p>
    <w:p w14:paraId="46BB41F3" w14:textId="77777777" w:rsidR="00310A0F" w:rsidRPr="00310A0F" w:rsidRDefault="00310A0F" w:rsidP="006E5D8B">
      <w:pPr>
        <w:pStyle w:val="Oddelek"/>
        <w:numPr>
          <w:ilvl w:val="0"/>
          <w:numId w:val="28"/>
        </w:numPr>
        <w:spacing w:before="0" w:after="0" w:line="240" w:lineRule="atLeast"/>
        <w:ind w:right="-7"/>
        <w:jc w:val="both"/>
        <w:rPr>
          <w:b w:val="0"/>
          <w:sz w:val="20"/>
          <w:szCs w:val="20"/>
          <w:lang w:val="sl-SI"/>
        </w:rPr>
      </w:pPr>
      <w:r w:rsidRPr="00310A0F">
        <w:rPr>
          <w:b w:val="0"/>
          <w:sz w:val="20"/>
          <w:szCs w:val="20"/>
          <w:lang w:val="sl-SI"/>
        </w:rPr>
        <w:t>z vzpostavitvijo in delovanjem pristojnega organa za izvedbo nalog v zvezi s priglasitvenim postopkom za storitve posredovanja podatkov v skladu s 13. členom Uredbe 2022/868/EU,</w:t>
      </w:r>
    </w:p>
    <w:p w14:paraId="18DDD402" w14:textId="77777777" w:rsidR="00310A0F" w:rsidRPr="00310A0F" w:rsidRDefault="00310A0F" w:rsidP="006E5D8B">
      <w:pPr>
        <w:pStyle w:val="Oddelek"/>
        <w:numPr>
          <w:ilvl w:val="0"/>
          <w:numId w:val="28"/>
        </w:numPr>
        <w:spacing w:before="0" w:after="0" w:line="240" w:lineRule="atLeast"/>
        <w:ind w:right="-7"/>
        <w:jc w:val="both"/>
        <w:rPr>
          <w:b w:val="0"/>
          <w:sz w:val="20"/>
          <w:szCs w:val="20"/>
          <w:lang w:val="sl-SI"/>
        </w:rPr>
      </w:pPr>
      <w:r w:rsidRPr="00310A0F">
        <w:rPr>
          <w:b w:val="0"/>
          <w:sz w:val="20"/>
          <w:szCs w:val="20"/>
          <w:lang w:val="sl-SI"/>
        </w:rPr>
        <w:t>z vzpostavitvijo in delovanjem enotne informacijske točke v skladu z 8. členom Uredbe 2022/868/EU,</w:t>
      </w:r>
    </w:p>
    <w:p w14:paraId="111B0435" w14:textId="65C8BC4D" w:rsidR="00310A0F" w:rsidRPr="00310A0F" w:rsidRDefault="00310A0F" w:rsidP="006E5D8B">
      <w:pPr>
        <w:pStyle w:val="Oddelek"/>
        <w:numPr>
          <w:ilvl w:val="0"/>
          <w:numId w:val="28"/>
        </w:numPr>
        <w:spacing w:before="0" w:after="0" w:line="240" w:lineRule="atLeast"/>
        <w:ind w:right="-7"/>
        <w:jc w:val="both"/>
        <w:rPr>
          <w:b w:val="0"/>
          <w:sz w:val="20"/>
          <w:szCs w:val="20"/>
          <w:lang w:val="sl-SI"/>
        </w:rPr>
      </w:pPr>
      <w:r w:rsidRPr="00310A0F">
        <w:rPr>
          <w:b w:val="0"/>
          <w:sz w:val="20"/>
          <w:szCs w:val="20"/>
          <w:lang w:val="sl-SI"/>
        </w:rPr>
        <w:t>z vzpostavitvijo in delovanjem pritožbenega organa pri Informacijskemu pooblaščencu (</w:t>
      </w:r>
      <w:r w:rsidR="002C5939">
        <w:rPr>
          <w:b w:val="0"/>
          <w:sz w:val="20"/>
          <w:szCs w:val="20"/>
          <w:lang w:val="sl-SI"/>
        </w:rPr>
        <w:t>5</w:t>
      </w:r>
      <w:r w:rsidRPr="00310A0F">
        <w:rPr>
          <w:b w:val="0"/>
          <w:sz w:val="20"/>
          <w:szCs w:val="20"/>
          <w:lang w:val="sl-SI"/>
        </w:rPr>
        <w:t xml:space="preserve">. člen predloga </w:t>
      </w:r>
      <w:r w:rsidR="002C5939">
        <w:rPr>
          <w:b w:val="0"/>
          <w:sz w:val="20"/>
          <w:szCs w:val="20"/>
          <w:lang w:val="sl-SI"/>
        </w:rPr>
        <w:t>z</w:t>
      </w:r>
      <w:r w:rsidRPr="00310A0F">
        <w:rPr>
          <w:b w:val="0"/>
          <w:sz w:val="20"/>
          <w:szCs w:val="20"/>
          <w:lang w:val="sl-SI"/>
        </w:rPr>
        <w:t>akona), ter</w:t>
      </w:r>
    </w:p>
    <w:p w14:paraId="547D1090" w14:textId="77777777" w:rsidR="00310A0F" w:rsidRPr="00310A0F" w:rsidRDefault="00310A0F" w:rsidP="006E5D8B">
      <w:pPr>
        <w:pStyle w:val="Oddelek"/>
        <w:numPr>
          <w:ilvl w:val="0"/>
          <w:numId w:val="28"/>
        </w:numPr>
        <w:spacing w:before="0" w:after="0" w:line="240" w:lineRule="atLeast"/>
        <w:ind w:right="-7"/>
        <w:jc w:val="both"/>
        <w:rPr>
          <w:b w:val="0"/>
          <w:sz w:val="20"/>
          <w:szCs w:val="20"/>
          <w:lang w:val="sl-SI"/>
        </w:rPr>
      </w:pPr>
      <w:r w:rsidRPr="00310A0F">
        <w:rPr>
          <w:b w:val="0"/>
          <w:sz w:val="20"/>
          <w:szCs w:val="20"/>
          <w:lang w:val="sl-SI"/>
        </w:rPr>
        <w:t>z vzpostavitvijo in delovanjem pristojnega organa za izvajanje nadzora nad izvajanjem Uredbe 2022/868/EU, delegiranih aktov in tega zakona.</w:t>
      </w:r>
    </w:p>
    <w:p w14:paraId="5CF13DB3" w14:textId="77777777" w:rsidR="00310A0F" w:rsidRPr="00310A0F" w:rsidRDefault="00310A0F" w:rsidP="00310A0F">
      <w:pPr>
        <w:spacing w:line="240" w:lineRule="atLeast"/>
        <w:jc w:val="both"/>
        <w:rPr>
          <w:lang w:val="sl-SI"/>
        </w:rPr>
      </w:pPr>
    </w:p>
    <w:p w14:paraId="2DD8F09E" w14:textId="77777777" w:rsidR="00310A0F" w:rsidRPr="00310A0F" w:rsidRDefault="00310A0F" w:rsidP="00310A0F">
      <w:pPr>
        <w:spacing w:line="240" w:lineRule="atLeast"/>
        <w:jc w:val="both"/>
        <w:rPr>
          <w:lang w:val="sl-SI"/>
        </w:rPr>
      </w:pPr>
      <w:r w:rsidRPr="00310A0F">
        <w:rPr>
          <w:lang w:val="sl-SI"/>
        </w:rPr>
        <w:t>Pojasnila k predvidenim finančnim posledicam v točkah 1, 2 in 3:</w:t>
      </w:r>
    </w:p>
    <w:p w14:paraId="36A7DBD8" w14:textId="77777777" w:rsidR="00310A0F" w:rsidRPr="00310A0F" w:rsidRDefault="00310A0F" w:rsidP="00310A0F">
      <w:pPr>
        <w:spacing w:line="240" w:lineRule="atLeast"/>
        <w:jc w:val="both"/>
        <w:rPr>
          <w:rFonts w:cs="Arial"/>
          <w:lang w:val="sl-SI"/>
        </w:rPr>
      </w:pPr>
    </w:p>
    <w:p w14:paraId="7693A926" w14:textId="77777777" w:rsidR="00310A0F" w:rsidRPr="00310A0F" w:rsidRDefault="00310A0F" w:rsidP="00310A0F">
      <w:pPr>
        <w:spacing w:line="240" w:lineRule="atLeast"/>
        <w:jc w:val="both"/>
        <w:rPr>
          <w:rFonts w:cs="Arial"/>
          <w:szCs w:val="20"/>
          <w:lang w:val="sl-SI" w:eastAsia="sl-SI"/>
        </w:rPr>
      </w:pPr>
      <w:r w:rsidRPr="00310A0F">
        <w:rPr>
          <w:rFonts w:cs="Arial"/>
          <w:szCs w:val="20"/>
          <w:lang w:val="sl-SI" w:eastAsia="sl-SI"/>
        </w:rPr>
        <w:t xml:space="preserve">Ministrstvo za digitalno preobrazbo (v nadaljnjem besedilu: ministrstvo) bo opravljalo naloge pristojnega organa v skladu s 7. in 13. členom Uredbe 2022/868/EU ter naloge enotne informacijske točke iz prvega odstavka 8. člena Uredbe 2022/868/EU. Za izvajanje nalog iz 7. člena Uredbe 2022/868/EU bo potrebno vzpostaviti in vzdrževati varno okolje za ponovno uporabo zaščitenih podatkov javnega sektorja. Za izvajanje zakonskih nalog bo potrebno poleg finančnih virov zagotoviti tudi dodatne zaposlitve, saj gre za popolnoma novo vrsto nalog, ki vsebinsko ne spadajo v obstoječa delovna področja ministrstva. </w:t>
      </w:r>
    </w:p>
    <w:p w14:paraId="6C6CB213" w14:textId="77777777" w:rsidR="00310A0F" w:rsidRPr="00310A0F" w:rsidRDefault="00310A0F" w:rsidP="00310A0F">
      <w:pPr>
        <w:spacing w:line="240" w:lineRule="atLeast"/>
        <w:jc w:val="both"/>
        <w:rPr>
          <w:rFonts w:cs="Arial"/>
          <w:szCs w:val="20"/>
          <w:lang w:val="sl-SI" w:eastAsia="sl-SI"/>
        </w:rPr>
      </w:pPr>
    </w:p>
    <w:p w14:paraId="19CD0926" w14:textId="77777777" w:rsidR="00310A0F" w:rsidRPr="00310A0F" w:rsidRDefault="00310A0F" w:rsidP="00310A0F">
      <w:pPr>
        <w:pStyle w:val="Oddelek"/>
        <w:numPr>
          <w:ilvl w:val="0"/>
          <w:numId w:val="0"/>
        </w:numPr>
        <w:spacing w:before="0" w:after="0" w:line="240" w:lineRule="atLeast"/>
        <w:ind w:right="-7"/>
        <w:jc w:val="both"/>
        <w:rPr>
          <w:b w:val="0"/>
          <w:bCs/>
          <w:sz w:val="20"/>
          <w:szCs w:val="20"/>
          <w:lang w:val="sl-SI"/>
        </w:rPr>
      </w:pPr>
      <w:r w:rsidRPr="00310A0F">
        <w:rPr>
          <w:b w:val="0"/>
          <w:bCs/>
          <w:sz w:val="20"/>
          <w:szCs w:val="20"/>
          <w:lang w:val="sl-SI"/>
        </w:rPr>
        <w:t>Za izvajanje zakonskih nalog se načrtuje zaposlitev 3 dodatnih javnih uslužbencev na ministrstvu, kar pomeni povečanje dovoljenega števila zaposlitev v ministrstvu za 3 kvote, in sicer: 2 delovni mesti sekretar in 1 delovno mesto višji svetovalec. Predviden letni obseg finančnih sredstev za dodatne zaposlitve znaša 126.004,34 eurov in je preračunan za tri dodatne javne uslužbence. Navedeni znesek vključuje strošek bruto bruto plač (vključno s povprečno oceno povračila potnih stroškov in prehrane, redne delovne uspešnosti in regresa za letni dopust), izobraževanja in usposabljanja (službene poti v tujini in v Sloveniji).</w:t>
      </w:r>
    </w:p>
    <w:p w14:paraId="60844073" w14:textId="77777777" w:rsidR="00310A0F" w:rsidRPr="00310A0F" w:rsidRDefault="00310A0F" w:rsidP="00310A0F">
      <w:pPr>
        <w:pStyle w:val="Oddelek"/>
        <w:numPr>
          <w:ilvl w:val="0"/>
          <w:numId w:val="0"/>
        </w:numPr>
        <w:spacing w:after="0" w:line="240" w:lineRule="atLeast"/>
        <w:ind w:right="-7"/>
        <w:jc w:val="both"/>
        <w:rPr>
          <w:b w:val="0"/>
          <w:sz w:val="20"/>
          <w:szCs w:val="20"/>
          <w:lang w:val="sl-SI"/>
        </w:rPr>
      </w:pPr>
      <w:r w:rsidRPr="00310A0F">
        <w:rPr>
          <w:b w:val="0"/>
          <w:sz w:val="20"/>
          <w:szCs w:val="20"/>
          <w:lang w:val="sl-SI"/>
        </w:rPr>
        <w:t>Za vzpostavitev in vzdrževanje varnega okolja za ponovno uporabo zaščitenih podatkov javnega sektorja iz četrtega odstavka 7. člena Uredbe 2022/868/EU ter za vzpostavitev in delovanje enotne informacijske točke iz 8. člena Uredbe 2022/868/EU bo poleg dodatnih zaposlitev potrebno zagotoviti ustrezno strojno in programsko opremo. Predvideni stroški na aplikativnem in infrastrukturnem delu so:</w:t>
      </w:r>
    </w:p>
    <w:p w14:paraId="4CA95444" w14:textId="77777777" w:rsidR="00310A0F" w:rsidRPr="00310A0F" w:rsidRDefault="00310A0F" w:rsidP="006E5D8B">
      <w:pPr>
        <w:pStyle w:val="Oddelek"/>
        <w:numPr>
          <w:ilvl w:val="0"/>
          <w:numId w:val="22"/>
        </w:numPr>
        <w:spacing w:before="120" w:after="0" w:line="240" w:lineRule="atLeast"/>
        <w:ind w:left="0" w:right="-6" w:firstLine="0"/>
        <w:jc w:val="both"/>
        <w:rPr>
          <w:b w:val="0"/>
          <w:sz w:val="20"/>
          <w:szCs w:val="20"/>
          <w:lang w:val="sl-SI"/>
        </w:rPr>
      </w:pPr>
      <w:r w:rsidRPr="00310A0F">
        <w:rPr>
          <w:b w:val="0"/>
          <w:sz w:val="20"/>
          <w:szCs w:val="20"/>
          <w:lang w:val="sl-SI"/>
        </w:rPr>
        <w:t>2025: 797.836 EUR</w:t>
      </w:r>
    </w:p>
    <w:p w14:paraId="1712A267" w14:textId="77777777" w:rsidR="00310A0F" w:rsidRPr="00310A0F" w:rsidRDefault="00310A0F" w:rsidP="006E5D8B">
      <w:pPr>
        <w:pStyle w:val="Oddelek"/>
        <w:numPr>
          <w:ilvl w:val="0"/>
          <w:numId w:val="22"/>
        </w:numPr>
        <w:spacing w:before="120" w:after="0" w:line="240" w:lineRule="atLeast"/>
        <w:ind w:left="0" w:right="-6" w:firstLine="0"/>
        <w:jc w:val="both"/>
        <w:rPr>
          <w:b w:val="0"/>
          <w:sz w:val="20"/>
          <w:szCs w:val="20"/>
          <w:lang w:val="sl-SI"/>
        </w:rPr>
      </w:pPr>
      <w:r w:rsidRPr="00310A0F">
        <w:rPr>
          <w:b w:val="0"/>
          <w:sz w:val="20"/>
          <w:szCs w:val="20"/>
          <w:lang w:val="sl-SI"/>
        </w:rPr>
        <w:t>2026: 562.575 EUR</w:t>
      </w:r>
    </w:p>
    <w:p w14:paraId="40ECF9E6" w14:textId="77777777" w:rsidR="00310A0F" w:rsidRPr="00310A0F" w:rsidRDefault="00310A0F" w:rsidP="006E5D8B">
      <w:pPr>
        <w:pStyle w:val="Oddelek"/>
        <w:numPr>
          <w:ilvl w:val="0"/>
          <w:numId w:val="22"/>
        </w:numPr>
        <w:spacing w:before="120" w:after="0" w:line="240" w:lineRule="atLeast"/>
        <w:ind w:left="0" w:right="-6" w:firstLine="0"/>
        <w:jc w:val="both"/>
        <w:rPr>
          <w:b w:val="0"/>
          <w:sz w:val="20"/>
          <w:szCs w:val="20"/>
          <w:lang w:val="sl-SI"/>
        </w:rPr>
      </w:pPr>
      <w:r w:rsidRPr="00310A0F">
        <w:rPr>
          <w:b w:val="0"/>
          <w:sz w:val="20"/>
          <w:szCs w:val="20"/>
          <w:lang w:val="sl-SI"/>
        </w:rPr>
        <w:t>2027: 527.575 EUR</w:t>
      </w:r>
    </w:p>
    <w:p w14:paraId="19035BA3" w14:textId="77777777" w:rsidR="00310A0F" w:rsidRPr="00310A0F" w:rsidRDefault="00310A0F" w:rsidP="00293092">
      <w:pPr>
        <w:pStyle w:val="Oddelek"/>
        <w:numPr>
          <w:ilvl w:val="0"/>
          <w:numId w:val="0"/>
        </w:numPr>
        <w:spacing w:before="0" w:after="0" w:line="240" w:lineRule="atLeast"/>
        <w:ind w:right="-7"/>
        <w:jc w:val="both"/>
        <w:rPr>
          <w:sz w:val="20"/>
          <w:szCs w:val="20"/>
          <w:lang w:val="sl-SI"/>
        </w:rPr>
      </w:pPr>
    </w:p>
    <w:p w14:paraId="5F1FBD87" w14:textId="77777777" w:rsidR="00310A0F" w:rsidRPr="00310A0F" w:rsidRDefault="00310A0F" w:rsidP="00310A0F">
      <w:pPr>
        <w:pStyle w:val="Oddelek"/>
        <w:numPr>
          <w:ilvl w:val="0"/>
          <w:numId w:val="0"/>
        </w:numPr>
        <w:spacing w:after="0" w:line="240" w:lineRule="atLeast"/>
        <w:ind w:right="-7"/>
        <w:jc w:val="both"/>
        <w:rPr>
          <w:b w:val="0"/>
          <w:sz w:val="20"/>
          <w:szCs w:val="20"/>
          <w:lang w:val="sl-SI"/>
        </w:rPr>
      </w:pPr>
      <w:r w:rsidRPr="00310A0F">
        <w:rPr>
          <w:b w:val="0"/>
          <w:sz w:val="20"/>
          <w:szCs w:val="20"/>
          <w:lang w:val="sl-SI"/>
        </w:rPr>
        <w:t>Skupni predvideni stroški za izvajanje nalog iz četrtega odstavka 7. člena Uredbe 2022/868/EU in 8. člena Uredbe 2022/868/EU znašajo za Ministrstvo za digitalno preobrazbo po letih:</w:t>
      </w:r>
    </w:p>
    <w:p w14:paraId="5FB6CC57" w14:textId="77777777" w:rsidR="00310A0F" w:rsidRPr="00310A0F" w:rsidRDefault="00310A0F" w:rsidP="006E5D8B">
      <w:pPr>
        <w:pStyle w:val="Oddelek"/>
        <w:numPr>
          <w:ilvl w:val="0"/>
          <w:numId w:val="22"/>
        </w:numPr>
        <w:spacing w:before="120" w:after="0" w:line="240" w:lineRule="atLeast"/>
        <w:ind w:left="0" w:right="-6" w:firstLine="0"/>
        <w:jc w:val="both"/>
        <w:rPr>
          <w:b w:val="0"/>
          <w:sz w:val="20"/>
          <w:szCs w:val="20"/>
          <w:lang w:val="sl-SI"/>
        </w:rPr>
      </w:pPr>
      <w:r w:rsidRPr="00310A0F">
        <w:rPr>
          <w:b w:val="0"/>
          <w:sz w:val="20"/>
          <w:szCs w:val="20"/>
          <w:lang w:val="sl-SI"/>
        </w:rPr>
        <w:t>2025: 902.836 EUR</w:t>
      </w:r>
    </w:p>
    <w:p w14:paraId="02CA1FD1" w14:textId="77777777" w:rsidR="00310A0F" w:rsidRPr="00310A0F" w:rsidRDefault="00310A0F" w:rsidP="006E5D8B">
      <w:pPr>
        <w:pStyle w:val="Oddelek"/>
        <w:numPr>
          <w:ilvl w:val="0"/>
          <w:numId w:val="22"/>
        </w:numPr>
        <w:spacing w:before="120" w:after="0" w:line="240" w:lineRule="atLeast"/>
        <w:ind w:left="0" w:right="-6" w:firstLine="0"/>
        <w:jc w:val="both"/>
        <w:rPr>
          <w:b w:val="0"/>
          <w:sz w:val="20"/>
          <w:szCs w:val="20"/>
          <w:lang w:val="sl-SI"/>
        </w:rPr>
      </w:pPr>
      <w:r w:rsidRPr="00310A0F">
        <w:rPr>
          <w:b w:val="0"/>
          <w:sz w:val="20"/>
          <w:szCs w:val="20"/>
          <w:lang w:val="sl-SI"/>
        </w:rPr>
        <w:t>2026: 688.577 EUR</w:t>
      </w:r>
    </w:p>
    <w:p w14:paraId="1F335238" w14:textId="77777777" w:rsidR="00310A0F" w:rsidRPr="00310A0F" w:rsidRDefault="00310A0F" w:rsidP="006E5D8B">
      <w:pPr>
        <w:pStyle w:val="Oddelek"/>
        <w:numPr>
          <w:ilvl w:val="0"/>
          <w:numId w:val="22"/>
        </w:numPr>
        <w:spacing w:before="120" w:after="0" w:line="240" w:lineRule="atLeast"/>
        <w:ind w:left="0" w:right="-6" w:firstLine="0"/>
        <w:jc w:val="both"/>
        <w:rPr>
          <w:b w:val="0"/>
          <w:sz w:val="20"/>
          <w:szCs w:val="20"/>
          <w:lang w:val="sl-SI"/>
        </w:rPr>
      </w:pPr>
      <w:r w:rsidRPr="00310A0F">
        <w:rPr>
          <w:b w:val="0"/>
          <w:sz w:val="20"/>
          <w:szCs w:val="20"/>
          <w:lang w:val="sl-SI"/>
        </w:rPr>
        <w:t>2027: 653.577 EUR</w:t>
      </w:r>
    </w:p>
    <w:p w14:paraId="0FFF8592" w14:textId="77777777" w:rsidR="00310A0F" w:rsidRPr="00310A0F" w:rsidRDefault="00310A0F" w:rsidP="00293092">
      <w:pPr>
        <w:pStyle w:val="Oddelek"/>
        <w:numPr>
          <w:ilvl w:val="0"/>
          <w:numId w:val="0"/>
        </w:numPr>
        <w:spacing w:before="0" w:after="0" w:line="240" w:lineRule="atLeast"/>
        <w:ind w:right="-7"/>
        <w:jc w:val="both"/>
        <w:rPr>
          <w:sz w:val="20"/>
          <w:szCs w:val="20"/>
          <w:lang w:val="sl-SI"/>
        </w:rPr>
      </w:pPr>
    </w:p>
    <w:p w14:paraId="14166F87" w14:textId="77777777" w:rsidR="00310A0F" w:rsidRDefault="00310A0F" w:rsidP="00310A0F">
      <w:pPr>
        <w:pStyle w:val="Oddelek"/>
        <w:numPr>
          <w:ilvl w:val="0"/>
          <w:numId w:val="0"/>
        </w:numPr>
        <w:spacing w:before="0" w:after="0" w:line="240" w:lineRule="atLeast"/>
        <w:ind w:right="-7"/>
        <w:jc w:val="both"/>
        <w:rPr>
          <w:b w:val="0"/>
          <w:sz w:val="20"/>
          <w:szCs w:val="24"/>
          <w:lang w:val="sl-SI" w:eastAsia="en-US"/>
        </w:rPr>
      </w:pPr>
      <w:r w:rsidRPr="00310A0F">
        <w:rPr>
          <w:b w:val="0"/>
          <w:sz w:val="20"/>
          <w:szCs w:val="24"/>
          <w:lang w:val="sl-SI" w:eastAsia="en-US"/>
        </w:rPr>
        <w:t>Pojasnila k predvidenim finančnim posledicam v točki 4:</w:t>
      </w:r>
    </w:p>
    <w:p w14:paraId="292D0D26" w14:textId="77777777" w:rsidR="00773A69" w:rsidRPr="00310A0F" w:rsidRDefault="00773A69" w:rsidP="00310A0F">
      <w:pPr>
        <w:pStyle w:val="Oddelek"/>
        <w:numPr>
          <w:ilvl w:val="0"/>
          <w:numId w:val="0"/>
        </w:numPr>
        <w:spacing w:before="0" w:after="0" w:line="240" w:lineRule="atLeast"/>
        <w:ind w:right="-7"/>
        <w:jc w:val="both"/>
        <w:rPr>
          <w:b w:val="0"/>
          <w:sz w:val="20"/>
          <w:szCs w:val="24"/>
          <w:lang w:val="sl-SI" w:eastAsia="en-US"/>
        </w:rPr>
      </w:pPr>
    </w:p>
    <w:p w14:paraId="3BC147F7" w14:textId="77777777" w:rsidR="00310A0F" w:rsidRPr="00310A0F" w:rsidRDefault="00310A0F" w:rsidP="00310A0F">
      <w:pPr>
        <w:pStyle w:val="Alineazaodstavkom"/>
        <w:numPr>
          <w:ilvl w:val="0"/>
          <w:numId w:val="0"/>
        </w:numPr>
        <w:spacing w:line="240" w:lineRule="atLeast"/>
        <w:ind w:right="-7"/>
        <w:rPr>
          <w:sz w:val="20"/>
          <w:szCs w:val="20"/>
        </w:rPr>
      </w:pPr>
      <w:r w:rsidRPr="00310A0F">
        <w:rPr>
          <w:sz w:val="20"/>
          <w:szCs w:val="20"/>
        </w:rPr>
        <w:t xml:space="preserve">Informacijski pooblaščenec bo opravljal naloge pritožbenega organa v skladu s tretjim odstavkom 9. člena Uredbe 2022/868/EU. Gre za popolnoma novo vrsto nalog, ki vsebinsko ne spadajo v obstoječe naloge Informacijskega pooblaščenca, zato bo potrebno zagotoviti 2 dodatni zaposlitvi, </w:t>
      </w:r>
      <w:r w:rsidRPr="00310A0F">
        <w:rPr>
          <w:bCs/>
          <w:sz w:val="20"/>
          <w:szCs w:val="20"/>
        </w:rPr>
        <w:t>kar pomeni povečanje dovoljenega števila zaposlitev pri Informacijskem pooblaščencu za dve kvoti, in sicer</w:t>
      </w:r>
      <w:r w:rsidRPr="00310A0F">
        <w:rPr>
          <w:sz w:val="20"/>
          <w:szCs w:val="20"/>
        </w:rPr>
        <w:t xml:space="preserve"> delovni mesti Sekretar.</w:t>
      </w:r>
    </w:p>
    <w:p w14:paraId="3125D984" w14:textId="77777777" w:rsidR="00310A0F" w:rsidRPr="00310A0F" w:rsidRDefault="00310A0F" w:rsidP="00293092">
      <w:pPr>
        <w:pStyle w:val="Oddelek"/>
        <w:numPr>
          <w:ilvl w:val="0"/>
          <w:numId w:val="0"/>
        </w:numPr>
        <w:spacing w:before="0" w:after="0" w:line="240" w:lineRule="atLeast"/>
        <w:ind w:right="-7"/>
        <w:jc w:val="both"/>
        <w:rPr>
          <w:sz w:val="20"/>
          <w:szCs w:val="20"/>
          <w:lang w:val="sl-SI"/>
        </w:rPr>
      </w:pPr>
    </w:p>
    <w:p w14:paraId="39B196D0" w14:textId="77777777" w:rsidR="00310A0F" w:rsidRPr="00310A0F" w:rsidRDefault="00310A0F" w:rsidP="00310A0F">
      <w:pPr>
        <w:pStyle w:val="Oddelek"/>
        <w:numPr>
          <w:ilvl w:val="0"/>
          <w:numId w:val="0"/>
        </w:numPr>
        <w:spacing w:before="0" w:after="0" w:line="240" w:lineRule="atLeast"/>
        <w:ind w:right="-7"/>
        <w:jc w:val="both"/>
        <w:rPr>
          <w:b w:val="0"/>
          <w:sz w:val="20"/>
          <w:szCs w:val="24"/>
          <w:lang w:val="sl-SI" w:eastAsia="en-US"/>
        </w:rPr>
      </w:pPr>
      <w:r w:rsidRPr="00310A0F">
        <w:rPr>
          <w:b w:val="0"/>
          <w:sz w:val="20"/>
          <w:szCs w:val="20"/>
          <w:lang w:val="sl-SI"/>
        </w:rPr>
        <w:t>Predviden letni obseg finančnih sredstev za izvajanje omenjenih nalog znaša 86.400,00 eurov in je preračunan za dva dodatna javna uslužbenca - znesek vključuje strošek bruto bruto plač (vključno s povprečno oceno povračila potnih stroškov in prehrane, redne delovne uspešnosti in regresa za letni dopust), izobraževanja in usposabljanja (službene poti v tujini in v Sloveniji) ter režijske stroške (zagotavljanje delovnih prostorov, stroškov energetike in vzdrževanja, zagotavljanje IT-opreme, uporaba službenih vozil, izvajanje administrativno-pravne podpore zaposlenim)</w:t>
      </w:r>
      <w:r w:rsidRPr="00310A0F">
        <w:rPr>
          <w:b w:val="0"/>
          <w:sz w:val="20"/>
          <w:szCs w:val="24"/>
          <w:lang w:val="sl-SI" w:eastAsia="en-US"/>
        </w:rPr>
        <w:t>.</w:t>
      </w:r>
    </w:p>
    <w:p w14:paraId="6CA7A431" w14:textId="77777777" w:rsidR="00310A0F" w:rsidRPr="00310A0F" w:rsidRDefault="00310A0F" w:rsidP="00310A0F">
      <w:pPr>
        <w:pStyle w:val="Oddelek"/>
        <w:numPr>
          <w:ilvl w:val="0"/>
          <w:numId w:val="0"/>
        </w:numPr>
        <w:spacing w:before="0" w:after="0" w:line="240" w:lineRule="atLeast"/>
        <w:ind w:right="-7"/>
        <w:jc w:val="both"/>
        <w:rPr>
          <w:b w:val="0"/>
          <w:sz w:val="20"/>
          <w:szCs w:val="24"/>
          <w:lang w:val="sl-SI" w:eastAsia="en-US"/>
        </w:rPr>
      </w:pPr>
    </w:p>
    <w:p w14:paraId="72750B38" w14:textId="7C9105FF" w:rsidR="00310A0F" w:rsidRDefault="00310A0F" w:rsidP="00310A0F">
      <w:pPr>
        <w:suppressAutoHyphens/>
        <w:overflowPunct w:val="0"/>
        <w:autoSpaceDE w:val="0"/>
        <w:autoSpaceDN w:val="0"/>
        <w:adjustRightInd w:val="0"/>
        <w:spacing w:line="240" w:lineRule="atLeast"/>
        <w:ind w:right="-7"/>
        <w:jc w:val="both"/>
        <w:textAlignment w:val="baseline"/>
        <w:outlineLvl w:val="3"/>
        <w:rPr>
          <w:lang w:val="sl-SI"/>
        </w:rPr>
      </w:pPr>
      <w:r w:rsidRPr="00310A0F">
        <w:rPr>
          <w:lang w:val="sl-SI"/>
        </w:rPr>
        <w:t>Pojasnila k predvidenim finančnim posledicam v točki 5:</w:t>
      </w:r>
    </w:p>
    <w:p w14:paraId="0FB1967C" w14:textId="77777777" w:rsidR="00CA6847" w:rsidRPr="00310A0F" w:rsidRDefault="00CA6847" w:rsidP="00310A0F">
      <w:pPr>
        <w:suppressAutoHyphens/>
        <w:overflowPunct w:val="0"/>
        <w:autoSpaceDE w:val="0"/>
        <w:autoSpaceDN w:val="0"/>
        <w:adjustRightInd w:val="0"/>
        <w:spacing w:line="240" w:lineRule="atLeast"/>
        <w:ind w:right="-7"/>
        <w:jc w:val="both"/>
        <w:textAlignment w:val="baseline"/>
        <w:outlineLvl w:val="3"/>
        <w:rPr>
          <w:lang w:val="sl-SI"/>
        </w:rPr>
      </w:pPr>
    </w:p>
    <w:p w14:paraId="0F3C4F05" w14:textId="0295C741" w:rsidR="00310A0F" w:rsidRPr="00310A0F" w:rsidRDefault="00310A0F" w:rsidP="00310A0F">
      <w:pPr>
        <w:overflowPunct w:val="0"/>
        <w:autoSpaceDE w:val="0"/>
        <w:autoSpaceDN w:val="0"/>
        <w:adjustRightInd w:val="0"/>
        <w:spacing w:line="240" w:lineRule="atLeast"/>
        <w:ind w:right="-7"/>
        <w:jc w:val="both"/>
        <w:textAlignment w:val="baseline"/>
        <w:rPr>
          <w:rFonts w:cs="Arial"/>
          <w:szCs w:val="20"/>
          <w:lang w:val="sl-SI" w:eastAsia="sl-SI"/>
        </w:rPr>
      </w:pPr>
      <w:r w:rsidRPr="00310A0F">
        <w:rPr>
          <w:rFonts w:cs="Arial"/>
          <w:szCs w:val="20"/>
          <w:lang w:val="sl-SI" w:eastAsia="sl-SI"/>
        </w:rPr>
        <w:t xml:space="preserve">Inšpektorat Republike Slovenije za informacijsko družbo (v nadaljnjem besedilu: inšpektorat) bo opravljal naloge nadzornega organa v skladu s 16. členom </w:t>
      </w:r>
      <w:r w:rsidR="00CA6847">
        <w:rPr>
          <w:rFonts w:cs="Arial"/>
          <w:szCs w:val="20"/>
          <w:lang w:val="sl-SI" w:eastAsia="sl-SI"/>
        </w:rPr>
        <w:t xml:space="preserve">predloga </w:t>
      </w:r>
      <w:r w:rsidRPr="00310A0F">
        <w:rPr>
          <w:rFonts w:cs="Arial"/>
          <w:szCs w:val="20"/>
          <w:lang w:val="sl-SI" w:eastAsia="sl-SI"/>
        </w:rPr>
        <w:t>zakona. Ker gre za popolnoma novo vsebinsko področje, na katerem inšpektorat ne opravlja nadzora, bo potrebno zagotoviti eno dodatno zaposlitev</w:t>
      </w:r>
      <w:r w:rsidR="00CA6847">
        <w:rPr>
          <w:rFonts w:cs="Arial"/>
          <w:szCs w:val="20"/>
          <w:lang w:val="sl-SI" w:eastAsia="sl-SI"/>
        </w:rPr>
        <w:t>,</w:t>
      </w:r>
      <w:r w:rsidRPr="00310A0F">
        <w:rPr>
          <w:rFonts w:cs="Arial"/>
          <w:szCs w:val="20"/>
          <w:lang w:val="sl-SI" w:eastAsia="sl-SI"/>
        </w:rPr>
        <w:t xml:space="preserve"> </w:t>
      </w:r>
      <w:r w:rsidRPr="00310A0F">
        <w:rPr>
          <w:rFonts w:cs="Arial"/>
          <w:bCs/>
          <w:szCs w:val="20"/>
          <w:lang w:val="sl-SI" w:eastAsia="sl-SI"/>
        </w:rPr>
        <w:t>kar pomeni povečanje dovoljenega števila zaposlitev v inšpektoratu za eno kvoto, in sicer</w:t>
      </w:r>
      <w:r w:rsidRPr="00310A0F">
        <w:rPr>
          <w:rFonts w:cs="Arial"/>
          <w:szCs w:val="20"/>
          <w:lang w:val="sl-SI" w:eastAsia="sl-SI"/>
        </w:rPr>
        <w:t xml:space="preserve"> za delovno mesto inšpektor svetnik.</w:t>
      </w:r>
    </w:p>
    <w:p w14:paraId="17B0270B" w14:textId="77777777" w:rsidR="00310A0F" w:rsidRPr="00310A0F" w:rsidRDefault="00310A0F" w:rsidP="00310A0F">
      <w:pPr>
        <w:overflowPunct w:val="0"/>
        <w:autoSpaceDE w:val="0"/>
        <w:autoSpaceDN w:val="0"/>
        <w:adjustRightInd w:val="0"/>
        <w:spacing w:line="240" w:lineRule="atLeast"/>
        <w:ind w:left="32" w:right="-7"/>
        <w:jc w:val="both"/>
        <w:textAlignment w:val="baseline"/>
        <w:rPr>
          <w:rFonts w:cs="Arial"/>
          <w:szCs w:val="20"/>
          <w:lang w:val="sl-SI" w:eastAsia="sl-SI"/>
        </w:rPr>
      </w:pPr>
      <w:r w:rsidRPr="00310A0F">
        <w:rPr>
          <w:rFonts w:cs="Arial"/>
          <w:szCs w:val="20"/>
          <w:lang w:val="sl-SI" w:eastAsia="sl-SI"/>
        </w:rPr>
        <w:t xml:space="preserve">Predviden letni obseg finančnih sredstev za izvajanje omenjenih nalog znaša 41.912,00 eurov in je preračunan za enega dodatnega javnega uslužbenca - znesek vključuje strošek bruto bruto plač (vključno s povprečno oceno povračila potnih stroškov in prehrane, redne delovne uspešnosti in regresa za letni dopust), izobraževanja in usposabljanja (službene poti v tujini in v Sloveniji. </w:t>
      </w:r>
    </w:p>
    <w:p w14:paraId="5BD69BA0" w14:textId="77777777" w:rsidR="00310A0F" w:rsidRPr="00310A0F" w:rsidRDefault="00310A0F" w:rsidP="00310A0F">
      <w:pPr>
        <w:overflowPunct w:val="0"/>
        <w:autoSpaceDE w:val="0"/>
        <w:autoSpaceDN w:val="0"/>
        <w:adjustRightInd w:val="0"/>
        <w:spacing w:line="240" w:lineRule="atLeast"/>
        <w:ind w:left="32" w:right="-7"/>
        <w:jc w:val="both"/>
        <w:textAlignment w:val="baseline"/>
        <w:rPr>
          <w:rFonts w:cs="Arial"/>
          <w:szCs w:val="20"/>
          <w:lang w:val="sl-SI" w:eastAsia="sl-SI"/>
        </w:rPr>
      </w:pPr>
    </w:p>
    <w:p w14:paraId="531D1FAB" w14:textId="77777777" w:rsidR="00310A0F" w:rsidRPr="00310A0F" w:rsidRDefault="00310A0F" w:rsidP="00310A0F">
      <w:pPr>
        <w:overflowPunct w:val="0"/>
        <w:autoSpaceDE w:val="0"/>
        <w:autoSpaceDN w:val="0"/>
        <w:adjustRightInd w:val="0"/>
        <w:spacing w:line="240" w:lineRule="atLeast"/>
        <w:ind w:left="32" w:right="-7"/>
        <w:jc w:val="both"/>
        <w:textAlignment w:val="baseline"/>
        <w:rPr>
          <w:rFonts w:cs="Arial"/>
          <w:sz w:val="22"/>
          <w:szCs w:val="22"/>
          <w:lang w:val="sl-SI" w:eastAsia="sl-SI"/>
        </w:rPr>
      </w:pPr>
      <w:r w:rsidRPr="00310A0F">
        <w:rPr>
          <w:rFonts w:cs="Arial"/>
          <w:szCs w:val="20"/>
          <w:lang w:val="sl-SI" w:eastAsia="sl-SI"/>
        </w:rPr>
        <w:t xml:space="preserve">Vsa navedena financiranja bodo potekala tudi v nadaljnjih letih, po letu 2026. Sredstva za izvajanje vseh nalog in ukrepov se zagotovijo iz državnega proračuna v okviru planiranj poračunov naslednjih proračunskih let. </w:t>
      </w:r>
    </w:p>
    <w:p w14:paraId="1F54B518" w14:textId="77777777" w:rsidR="00310A0F" w:rsidRPr="00310A0F" w:rsidRDefault="00310A0F" w:rsidP="00310A0F">
      <w:pPr>
        <w:widowControl w:val="0"/>
        <w:spacing w:line="260" w:lineRule="exact"/>
        <w:ind w:left="284"/>
        <w:jc w:val="both"/>
        <w:rPr>
          <w:rFonts w:cs="Arial"/>
          <w:szCs w:val="20"/>
          <w:lang w:val="sl-SI" w:eastAsia="sl-SI"/>
        </w:rPr>
      </w:pPr>
    </w:p>
    <w:p w14:paraId="0FB4289F" w14:textId="77777777" w:rsidR="00310A0F" w:rsidRPr="00310A0F" w:rsidRDefault="00310A0F" w:rsidP="00310A0F">
      <w:pPr>
        <w:suppressAutoHyphens/>
        <w:overflowPunct w:val="0"/>
        <w:autoSpaceDE w:val="0"/>
        <w:autoSpaceDN w:val="0"/>
        <w:adjustRightInd w:val="0"/>
        <w:spacing w:line="240" w:lineRule="atLeast"/>
        <w:ind w:right="-7"/>
        <w:jc w:val="both"/>
        <w:textAlignment w:val="baseline"/>
        <w:outlineLvl w:val="3"/>
        <w:rPr>
          <w:bCs/>
          <w:lang w:val="sl-SI"/>
        </w:rPr>
      </w:pPr>
      <w:r w:rsidRPr="00310A0F">
        <w:rPr>
          <w:rFonts w:cs="Arial"/>
          <w:bCs/>
          <w:szCs w:val="20"/>
          <w:lang w:val="sl-SI" w:eastAsia="sl-SI"/>
        </w:rPr>
        <w:t>Kot prihodek proračuna pri organih javnega sektorja, ki bodo odločali o ponovni uporabi zaščitenih podatkov javnega sektorja, je predviden priliv iz naslova pristojbin za ponovno uporabo zaščitenih podatkov javnega sektorja (9. člen predloga zakona), zgolj tistih, ki so neposredni proračunski uporabniki. Pri Ministrstvu za digitalno preobrazbo pa bo prihodek predstavljal vsakokratno zagotovljeno varno okolje za prosilca, neglede na odločevalca o ponovi uporabi zaščitenih podatkov javnega sektorja, ter morebitni dostop do omrežja HKOM, v kolikor ga prosilec še nima</w:t>
      </w:r>
      <w:r w:rsidRPr="00310A0F">
        <w:rPr>
          <w:bCs/>
          <w:lang w:val="sl-SI"/>
        </w:rPr>
        <w:t>.</w:t>
      </w:r>
    </w:p>
    <w:p w14:paraId="7F1EF6C9" w14:textId="77777777" w:rsidR="00310A0F" w:rsidRPr="00310A0F" w:rsidRDefault="00310A0F" w:rsidP="00310A0F">
      <w:pPr>
        <w:pStyle w:val="Oddelek"/>
        <w:numPr>
          <w:ilvl w:val="0"/>
          <w:numId w:val="0"/>
        </w:numPr>
        <w:spacing w:before="0" w:after="0" w:line="240" w:lineRule="atLeast"/>
        <w:ind w:right="-7"/>
        <w:jc w:val="both"/>
        <w:rPr>
          <w:b w:val="0"/>
          <w:sz w:val="20"/>
          <w:szCs w:val="24"/>
          <w:lang w:val="sl-SI" w:eastAsia="en-US"/>
        </w:rPr>
      </w:pPr>
    </w:p>
    <w:p w14:paraId="5600FFF3" w14:textId="77777777" w:rsidR="0039576E" w:rsidRDefault="0039576E" w:rsidP="00694DC1">
      <w:pPr>
        <w:pStyle w:val="Alineazaodstavkom"/>
        <w:numPr>
          <w:ilvl w:val="0"/>
          <w:numId w:val="0"/>
        </w:numPr>
        <w:spacing w:line="240" w:lineRule="atLeast"/>
        <w:ind w:left="32" w:right="678"/>
        <w:rPr>
          <w:bCs/>
        </w:rPr>
      </w:pPr>
    </w:p>
    <w:p w14:paraId="054CF3DD" w14:textId="77777777" w:rsidR="00CA6847" w:rsidRDefault="00CA6847" w:rsidP="00CA6847">
      <w:pPr>
        <w:pStyle w:val="Oddelek"/>
        <w:numPr>
          <w:ilvl w:val="0"/>
          <w:numId w:val="0"/>
        </w:numPr>
        <w:spacing w:before="0" w:after="0" w:line="240" w:lineRule="atLeast"/>
        <w:ind w:right="-7"/>
        <w:jc w:val="both"/>
        <w:rPr>
          <w:sz w:val="20"/>
          <w:szCs w:val="20"/>
        </w:rPr>
      </w:pPr>
      <w:r>
        <w:rPr>
          <w:sz w:val="20"/>
          <w:szCs w:val="20"/>
        </w:rPr>
        <w:t>Finančne posledice</w:t>
      </w:r>
      <w:r w:rsidRPr="00B12AE7">
        <w:rPr>
          <w:sz w:val="20"/>
          <w:szCs w:val="20"/>
        </w:rPr>
        <w:t>:</w:t>
      </w:r>
    </w:p>
    <w:p w14:paraId="74340846" w14:textId="77777777" w:rsidR="00CA6847" w:rsidRDefault="00CA6847" w:rsidP="00CA6847">
      <w:pPr>
        <w:pStyle w:val="Oddelek"/>
        <w:numPr>
          <w:ilvl w:val="0"/>
          <w:numId w:val="0"/>
        </w:numPr>
        <w:spacing w:before="0" w:after="0" w:line="240" w:lineRule="atLeast"/>
        <w:ind w:right="-7"/>
        <w:jc w:val="both"/>
        <w:rPr>
          <w:b w:val="0"/>
          <w:bCs/>
          <w:sz w:val="20"/>
          <w:szCs w:val="20"/>
        </w:rPr>
      </w:pPr>
    </w:p>
    <w:p w14:paraId="4DE7B7D0" w14:textId="78C13FE4" w:rsidR="0008150F" w:rsidRDefault="00CA6847" w:rsidP="00CA6847">
      <w:pPr>
        <w:pStyle w:val="Alineazaodstavkom"/>
        <w:numPr>
          <w:ilvl w:val="0"/>
          <w:numId w:val="0"/>
        </w:numPr>
        <w:spacing w:line="240" w:lineRule="atLeast"/>
        <w:rPr>
          <w:sz w:val="20"/>
          <w:szCs w:val="20"/>
        </w:rPr>
      </w:pPr>
      <w:r w:rsidRPr="00521426">
        <w:rPr>
          <w:b/>
          <w:bCs/>
          <w:sz w:val="20"/>
          <w:szCs w:val="20"/>
        </w:rPr>
        <w:t xml:space="preserve">Tabela </w:t>
      </w:r>
      <w:r>
        <w:rPr>
          <w:b/>
          <w:bCs/>
          <w:sz w:val="20"/>
          <w:szCs w:val="20"/>
        </w:rPr>
        <w:t>1</w:t>
      </w:r>
      <w:r w:rsidRPr="00521426">
        <w:rPr>
          <w:b/>
          <w:bCs/>
          <w:sz w:val="20"/>
          <w:szCs w:val="20"/>
        </w:rPr>
        <w:t>:</w:t>
      </w:r>
      <w:r>
        <w:rPr>
          <w:sz w:val="20"/>
          <w:szCs w:val="20"/>
        </w:rPr>
        <w:t xml:space="preserve"> </w:t>
      </w:r>
      <w:r w:rsidRPr="002E154B">
        <w:rPr>
          <w:sz w:val="20"/>
          <w:szCs w:val="20"/>
        </w:rPr>
        <w:t xml:space="preserve">Okvirna višina </w:t>
      </w:r>
      <w:r>
        <w:rPr>
          <w:sz w:val="20"/>
          <w:szCs w:val="20"/>
        </w:rPr>
        <w:t>finančnih posledic</w:t>
      </w:r>
      <w:r w:rsidRPr="002E154B">
        <w:rPr>
          <w:sz w:val="20"/>
          <w:szCs w:val="20"/>
        </w:rPr>
        <w:t xml:space="preserve"> po letih:</w:t>
      </w:r>
    </w:p>
    <w:tbl>
      <w:tblPr>
        <w:tblStyle w:val="Tabelamrea"/>
        <w:tblW w:w="9067" w:type="dxa"/>
        <w:tblLook w:val="04A0" w:firstRow="1" w:lastRow="0" w:firstColumn="1" w:lastColumn="0" w:noHBand="0" w:noVBand="1"/>
      </w:tblPr>
      <w:tblGrid>
        <w:gridCol w:w="2863"/>
        <w:gridCol w:w="1418"/>
        <w:gridCol w:w="1526"/>
        <w:gridCol w:w="1559"/>
        <w:gridCol w:w="1701"/>
      </w:tblGrid>
      <w:tr w:rsidR="0008150F" w:rsidRPr="0008150F" w14:paraId="602A2DF4" w14:textId="77777777" w:rsidTr="00E557A0">
        <w:tc>
          <w:tcPr>
            <w:tcW w:w="2863" w:type="dxa"/>
          </w:tcPr>
          <w:p w14:paraId="20450D08" w14:textId="77777777" w:rsidR="0008150F" w:rsidRPr="0008150F" w:rsidRDefault="0008150F" w:rsidP="0008150F">
            <w:pPr>
              <w:overflowPunct w:val="0"/>
              <w:autoSpaceDE w:val="0"/>
              <w:autoSpaceDN w:val="0"/>
              <w:adjustRightInd w:val="0"/>
              <w:spacing w:line="240" w:lineRule="atLeast"/>
              <w:jc w:val="both"/>
              <w:textAlignment w:val="baseline"/>
              <w:rPr>
                <w:rFonts w:cs="Arial"/>
                <w:b/>
                <w:bCs/>
                <w:sz w:val="18"/>
                <w:szCs w:val="18"/>
                <w:lang w:val="sl-SI" w:eastAsia="sl-SI"/>
              </w:rPr>
            </w:pPr>
            <w:r w:rsidRPr="0008150F">
              <w:rPr>
                <w:rFonts w:cs="Arial"/>
                <w:b/>
                <w:bCs/>
                <w:sz w:val="18"/>
                <w:szCs w:val="18"/>
                <w:lang w:val="sl-SI" w:eastAsia="sl-SI"/>
              </w:rPr>
              <w:t>Ukrep</w:t>
            </w:r>
          </w:p>
        </w:tc>
        <w:tc>
          <w:tcPr>
            <w:tcW w:w="1418" w:type="dxa"/>
          </w:tcPr>
          <w:p w14:paraId="1411B21E" w14:textId="77777777" w:rsidR="0008150F" w:rsidRPr="0008150F" w:rsidRDefault="0008150F" w:rsidP="0008150F">
            <w:pPr>
              <w:overflowPunct w:val="0"/>
              <w:autoSpaceDE w:val="0"/>
              <w:autoSpaceDN w:val="0"/>
              <w:adjustRightInd w:val="0"/>
              <w:spacing w:line="240" w:lineRule="atLeast"/>
              <w:jc w:val="center"/>
              <w:textAlignment w:val="baseline"/>
              <w:rPr>
                <w:rFonts w:cs="Arial"/>
                <w:b/>
                <w:bCs/>
                <w:sz w:val="18"/>
                <w:szCs w:val="18"/>
                <w:lang w:val="sl-SI" w:eastAsia="sl-SI"/>
              </w:rPr>
            </w:pPr>
            <w:r w:rsidRPr="0008150F">
              <w:rPr>
                <w:rFonts w:cs="Arial"/>
                <w:b/>
                <w:bCs/>
                <w:sz w:val="18"/>
                <w:szCs w:val="18"/>
                <w:lang w:val="sl-SI" w:eastAsia="sl-SI"/>
              </w:rPr>
              <w:t>2024</w:t>
            </w:r>
          </w:p>
        </w:tc>
        <w:tc>
          <w:tcPr>
            <w:tcW w:w="1526" w:type="dxa"/>
          </w:tcPr>
          <w:p w14:paraId="05EAE3F2" w14:textId="77777777" w:rsidR="0008150F" w:rsidRPr="0008150F" w:rsidRDefault="0008150F" w:rsidP="0008150F">
            <w:pPr>
              <w:overflowPunct w:val="0"/>
              <w:autoSpaceDE w:val="0"/>
              <w:autoSpaceDN w:val="0"/>
              <w:adjustRightInd w:val="0"/>
              <w:spacing w:line="240" w:lineRule="atLeast"/>
              <w:jc w:val="center"/>
              <w:textAlignment w:val="baseline"/>
              <w:rPr>
                <w:rFonts w:cs="Arial"/>
                <w:b/>
                <w:bCs/>
                <w:sz w:val="18"/>
                <w:szCs w:val="18"/>
                <w:lang w:val="sl-SI" w:eastAsia="sl-SI"/>
              </w:rPr>
            </w:pPr>
            <w:r w:rsidRPr="0008150F">
              <w:rPr>
                <w:rFonts w:cs="Arial"/>
                <w:b/>
                <w:bCs/>
                <w:sz w:val="18"/>
                <w:szCs w:val="18"/>
                <w:lang w:val="sl-SI" w:eastAsia="sl-SI"/>
              </w:rPr>
              <w:t>2025</w:t>
            </w:r>
          </w:p>
        </w:tc>
        <w:tc>
          <w:tcPr>
            <w:tcW w:w="1559" w:type="dxa"/>
          </w:tcPr>
          <w:p w14:paraId="1F37737D" w14:textId="77777777" w:rsidR="0008150F" w:rsidRPr="0008150F" w:rsidRDefault="0008150F" w:rsidP="0008150F">
            <w:pPr>
              <w:overflowPunct w:val="0"/>
              <w:autoSpaceDE w:val="0"/>
              <w:autoSpaceDN w:val="0"/>
              <w:adjustRightInd w:val="0"/>
              <w:spacing w:line="240" w:lineRule="atLeast"/>
              <w:jc w:val="center"/>
              <w:textAlignment w:val="baseline"/>
              <w:rPr>
                <w:rFonts w:cs="Arial"/>
                <w:b/>
                <w:bCs/>
                <w:sz w:val="18"/>
                <w:szCs w:val="18"/>
                <w:lang w:val="sl-SI" w:eastAsia="sl-SI"/>
              </w:rPr>
            </w:pPr>
            <w:r w:rsidRPr="0008150F">
              <w:rPr>
                <w:rFonts w:cs="Arial"/>
                <w:b/>
                <w:bCs/>
                <w:sz w:val="18"/>
                <w:szCs w:val="18"/>
                <w:lang w:val="sl-SI" w:eastAsia="sl-SI"/>
              </w:rPr>
              <w:t>2026</w:t>
            </w:r>
          </w:p>
        </w:tc>
        <w:tc>
          <w:tcPr>
            <w:tcW w:w="1701" w:type="dxa"/>
          </w:tcPr>
          <w:p w14:paraId="2D563B35" w14:textId="77777777" w:rsidR="0008150F" w:rsidRPr="0008150F" w:rsidRDefault="0008150F" w:rsidP="0008150F">
            <w:pPr>
              <w:overflowPunct w:val="0"/>
              <w:autoSpaceDE w:val="0"/>
              <w:autoSpaceDN w:val="0"/>
              <w:adjustRightInd w:val="0"/>
              <w:spacing w:line="240" w:lineRule="atLeast"/>
              <w:jc w:val="center"/>
              <w:textAlignment w:val="baseline"/>
              <w:rPr>
                <w:rFonts w:cs="Arial"/>
                <w:b/>
                <w:bCs/>
                <w:sz w:val="18"/>
                <w:szCs w:val="18"/>
                <w:highlight w:val="yellow"/>
                <w:lang w:val="sl-SI" w:eastAsia="sl-SI"/>
              </w:rPr>
            </w:pPr>
            <w:r w:rsidRPr="0008150F">
              <w:rPr>
                <w:rFonts w:cs="Arial"/>
                <w:b/>
                <w:bCs/>
                <w:sz w:val="18"/>
                <w:szCs w:val="18"/>
                <w:lang w:val="sl-SI" w:eastAsia="sl-SI"/>
              </w:rPr>
              <w:t>2027</w:t>
            </w:r>
          </w:p>
        </w:tc>
      </w:tr>
      <w:tr w:rsidR="0008150F" w:rsidRPr="0008150F" w14:paraId="392C2245" w14:textId="77777777" w:rsidTr="00E557A0">
        <w:tc>
          <w:tcPr>
            <w:tcW w:w="2863" w:type="dxa"/>
          </w:tcPr>
          <w:p w14:paraId="4D31D157" w14:textId="77777777" w:rsidR="0008150F" w:rsidRPr="0008150F" w:rsidRDefault="0008150F" w:rsidP="0008150F">
            <w:pPr>
              <w:overflowPunct w:val="0"/>
              <w:autoSpaceDE w:val="0"/>
              <w:autoSpaceDN w:val="0"/>
              <w:adjustRightInd w:val="0"/>
              <w:spacing w:line="240" w:lineRule="atLeast"/>
              <w:textAlignment w:val="baseline"/>
              <w:rPr>
                <w:rFonts w:cs="Arial"/>
                <w:sz w:val="18"/>
                <w:szCs w:val="18"/>
                <w:lang w:val="sl-SI" w:eastAsia="sl-SI"/>
              </w:rPr>
            </w:pPr>
            <w:r w:rsidRPr="0008150F">
              <w:rPr>
                <w:rFonts w:cs="Arial"/>
                <w:sz w:val="18"/>
                <w:szCs w:val="18"/>
                <w:lang w:val="sl-SI" w:eastAsia="sl-SI"/>
              </w:rPr>
              <w:t>Vzpostavitev in delovanje pristojnega organa v skladu s 7. členom Uredbe 2022/868/EU</w:t>
            </w:r>
          </w:p>
          <w:p w14:paraId="0B38DF6F" w14:textId="77777777" w:rsidR="0008150F" w:rsidRPr="0008150F" w:rsidRDefault="0008150F" w:rsidP="0008150F">
            <w:pPr>
              <w:suppressAutoHyphens/>
              <w:overflowPunct w:val="0"/>
              <w:autoSpaceDE w:val="0"/>
              <w:autoSpaceDN w:val="0"/>
              <w:adjustRightInd w:val="0"/>
              <w:spacing w:line="240" w:lineRule="atLeast"/>
              <w:ind w:right="678"/>
              <w:textAlignment w:val="baseline"/>
              <w:outlineLvl w:val="3"/>
              <w:rPr>
                <w:rFonts w:cs="Arial"/>
                <w:sz w:val="18"/>
                <w:szCs w:val="18"/>
                <w:lang w:val="sl-SI" w:eastAsia="sl-SI"/>
              </w:rPr>
            </w:pPr>
            <w:r w:rsidRPr="0008150F">
              <w:rPr>
                <w:rFonts w:cs="Arial"/>
                <w:sz w:val="18"/>
                <w:szCs w:val="18"/>
                <w:lang w:val="sl-SI" w:eastAsia="sl-SI"/>
              </w:rPr>
              <w:t>Strošek zaposlitev:</w:t>
            </w:r>
          </w:p>
          <w:p w14:paraId="1FE05D39" w14:textId="77777777" w:rsidR="0008150F" w:rsidRPr="0008150F" w:rsidRDefault="0008150F" w:rsidP="0008150F">
            <w:pPr>
              <w:suppressAutoHyphens/>
              <w:overflowPunct w:val="0"/>
              <w:autoSpaceDE w:val="0"/>
              <w:autoSpaceDN w:val="0"/>
              <w:adjustRightInd w:val="0"/>
              <w:spacing w:line="240" w:lineRule="atLeast"/>
              <w:textAlignment w:val="baseline"/>
              <w:outlineLvl w:val="3"/>
              <w:rPr>
                <w:rFonts w:cs="Arial"/>
                <w:sz w:val="18"/>
                <w:szCs w:val="18"/>
                <w:lang w:val="sl-SI" w:eastAsia="sl-SI"/>
              </w:rPr>
            </w:pPr>
            <w:r w:rsidRPr="0008150F">
              <w:rPr>
                <w:rFonts w:cs="Arial"/>
                <w:sz w:val="18"/>
                <w:szCs w:val="18"/>
                <w:lang w:val="sl-SI" w:eastAsia="sl-SI"/>
              </w:rPr>
              <w:t>1x višji svetovalec (PR 36-46)</w:t>
            </w:r>
          </w:p>
        </w:tc>
        <w:tc>
          <w:tcPr>
            <w:tcW w:w="1418" w:type="dxa"/>
            <w:vMerge w:val="restart"/>
            <w:vAlign w:val="center"/>
          </w:tcPr>
          <w:p w14:paraId="7D651A83" w14:textId="77777777" w:rsidR="0008150F" w:rsidRPr="0008150F" w:rsidRDefault="0008150F" w:rsidP="0008150F">
            <w:pPr>
              <w:overflowPunct w:val="0"/>
              <w:autoSpaceDE w:val="0"/>
              <w:autoSpaceDN w:val="0"/>
              <w:adjustRightInd w:val="0"/>
              <w:spacing w:line="240" w:lineRule="atLeast"/>
              <w:jc w:val="right"/>
              <w:textAlignment w:val="baseline"/>
              <w:rPr>
                <w:rFonts w:cs="Arial"/>
                <w:sz w:val="18"/>
                <w:szCs w:val="18"/>
                <w:lang w:val="sl-SI" w:eastAsia="sl-SI"/>
              </w:rPr>
            </w:pPr>
            <w:r w:rsidRPr="0008150F">
              <w:rPr>
                <w:rFonts w:cs="Arial"/>
                <w:sz w:val="18"/>
                <w:szCs w:val="18"/>
                <w:lang w:val="sl-SI" w:eastAsia="sl-SI"/>
              </w:rPr>
              <w:t>0 EUR</w:t>
            </w:r>
          </w:p>
        </w:tc>
        <w:tc>
          <w:tcPr>
            <w:tcW w:w="1526" w:type="dxa"/>
            <w:vMerge w:val="restart"/>
            <w:vAlign w:val="center"/>
          </w:tcPr>
          <w:p w14:paraId="2AB70662" w14:textId="77777777" w:rsidR="0008150F" w:rsidRPr="0008150F" w:rsidRDefault="0008150F" w:rsidP="0008150F">
            <w:pPr>
              <w:overflowPunct w:val="0"/>
              <w:autoSpaceDE w:val="0"/>
              <w:autoSpaceDN w:val="0"/>
              <w:adjustRightInd w:val="0"/>
              <w:spacing w:line="240" w:lineRule="atLeast"/>
              <w:jc w:val="right"/>
              <w:textAlignment w:val="baseline"/>
              <w:rPr>
                <w:rFonts w:cs="Arial"/>
                <w:sz w:val="18"/>
                <w:szCs w:val="18"/>
                <w:lang w:val="sl-SI" w:eastAsia="sl-SI"/>
              </w:rPr>
            </w:pPr>
            <w:r w:rsidRPr="0008150F">
              <w:rPr>
                <w:rFonts w:cs="Arial"/>
                <w:sz w:val="18"/>
                <w:szCs w:val="18"/>
                <w:lang w:val="sl-SI" w:eastAsia="sl-SI"/>
              </w:rPr>
              <w:t>27.578 EUR</w:t>
            </w:r>
          </w:p>
        </w:tc>
        <w:tc>
          <w:tcPr>
            <w:tcW w:w="1559" w:type="dxa"/>
            <w:vMerge w:val="restart"/>
            <w:vAlign w:val="center"/>
          </w:tcPr>
          <w:p w14:paraId="4A7C9B91" w14:textId="77777777" w:rsidR="0008150F" w:rsidRPr="0008150F" w:rsidRDefault="0008150F" w:rsidP="0008150F">
            <w:pPr>
              <w:overflowPunct w:val="0"/>
              <w:autoSpaceDE w:val="0"/>
              <w:autoSpaceDN w:val="0"/>
              <w:adjustRightInd w:val="0"/>
              <w:spacing w:line="240" w:lineRule="atLeast"/>
              <w:jc w:val="right"/>
              <w:textAlignment w:val="baseline"/>
              <w:rPr>
                <w:rFonts w:cs="Arial"/>
                <w:sz w:val="18"/>
                <w:szCs w:val="18"/>
                <w:lang w:val="sl-SI" w:eastAsia="sl-SI"/>
              </w:rPr>
            </w:pPr>
            <w:r w:rsidRPr="0008150F">
              <w:rPr>
                <w:rFonts w:cs="Arial"/>
                <w:sz w:val="18"/>
                <w:szCs w:val="18"/>
                <w:lang w:val="sl-SI" w:eastAsia="sl-SI"/>
              </w:rPr>
              <w:t>33.094 EUR</w:t>
            </w:r>
          </w:p>
        </w:tc>
        <w:tc>
          <w:tcPr>
            <w:tcW w:w="1701" w:type="dxa"/>
            <w:vMerge w:val="restart"/>
            <w:vAlign w:val="center"/>
          </w:tcPr>
          <w:p w14:paraId="2968EBD5" w14:textId="77777777" w:rsidR="0008150F" w:rsidRPr="0008150F" w:rsidRDefault="0008150F" w:rsidP="0008150F">
            <w:pPr>
              <w:overflowPunct w:val="0"/>
              <w:autoSpaceDE w:val="0"/>
              <w:autoSpaceDN w:val="0"/>
              <w:adjustRightInd w:val="0"/>
              <w:spacing w:line="240" w:lineRule="atLeast"/>
              <w:jc w:val="right"/>
              <w:textAlignment w:val="baseline"/>
              <w:rPr>
                <w:rFonts w:cs="Arial"/>
                <w:sz w:val="18"/>
                <w:szCs w:val="18"/>
                <w:lang w:val="sl-SI" w:eastAsia="sl-SI"/>
              </w:rPr>
            </w:pPr>
            <w:r w:rsidRPr="0008150F">
              <w:rPr>
                <w:rFonts w:cs="Arial"/>
                <w:sz w:val="18"/>
                <w:szCs w:val="18"/>
                <w:lang w:val="sl-SI" w:eastAsia="sl-SI"/>
              </w:rPr>
              <w:t>33.094 EUR</w:t>
            </w:r>
          </w:p>
        </w:tc>
      </w:tr>
      <w:tr w:rsidR="0008150F" w:rsidRPr="0008150F" w14:paraId="12D8DDE7" w14:textId="77777777" w:rsidTr="00E557A0">
        <w:tc>
          <w:tcPr>
            <w:tcW w:w="2863" w:type="dxa"/>
          </w:tcPr>
          <w:p w14:paraId="6D2B8D60" w14:textId="77777777" w:rsidR="0008150F" w:rsidRPr="0008150F" w:rsidRDefault="0008150F" w:rsidP="0008150F">
            <w:pPr>
              <w:overflowPunct w:val="0"/>
              <w:autoSpaceDE w:val="0"/>
              <w:autoSpaceDN w:val="0"/>
              <w:adjustRightInd w:val="0"/>
              <w:spacing w:line="240" w:lineRule="atLeast"/>
              <w:textAlignment w:val="baseline"/>
              <w:rPr>
                <w:rFonts w:cs="Arial"/>
                <w:sz w:val="18"/>
                <w:szCs w:val="18"/>
                <w:highlight w:val="yellow"/>
                <w:lang w:val="sl-SI" w:eastAsia="sl-SI"/>
              </w:rPr>
            </w:pPr>
            <w:r w:rsidRPr="0008150F">
              <w:rPr>
                <w:rFonts w:cs="Arial"/>
                <w:bCs/>
                <w:sz w:val="18"/>
                <w:szCs w:val="18"/>
                <w:lang w:val="sl-SI" w:eastAsia="sl-SI"/>
              </w:rPr>
              <w:t xml:space="preserve">Vzpostavitev in delovanje </w:t>
            </w:r>
            <w:r w:rsidRPr="0008150F">
              <w:rPr>
                <w:rFonts w:cs="Arial"/>
                <w:sz w:val="18"/>
                <w:szCs w:val="18"/>
                <w:lang w:val="sl-SI" w:eastAsia="sl-SI"/>
              </w:rPr>
              <w:t>pristojnega organa v skladu s 13. členom Uredbe 2022/868/EU</w:t>
            </w:r>
          </w:p>
        </w:tc>
        <w:tc>
          <w:tcPr>
            <w:tcW w:w="1418" w:type="dxa"/>
            <w:vMerge/>
            <w:vAlign w:val="center"/>
          </w:tcPr>
          <w:p w14:paraId="3ADB93B0" w14:textId="77777777" w:rsidR="0008150F" w:rsidRPr="0008150F" w:rsidRDefault="0008150F" w:rsidP="0008150F">
            <w:pPr>
              <w:overflowPunct w:val="0"/>
              <w:autoSpaceDE w:val="0"/>
              <w:autoSpaceDN w:val="0"/>
              <w:adjustRightInd w:val="0"/>
              <w:spacing w:line="240" w:lineRule="atLeast"/>
              <w:jc w:val="right"/>
              <w:textAlignment w:val="baseline"/>
              <w:rPr>
                <w:rFonts w:cs="Arial"/>
                <w:sz w:val="18"/>
                <w:szCs w:val="18"/>
                <w:highlight w:val="yellow"/>
                <w:lang w:val="sl-SI" w:eastAsia="sl-SI"/>
              </w:rPr>
            </w:pPr>
          </w:p>
        </w:tc>
        <w:tc>
          <w:tcPr>
            <w:tcW w:w="1526" w:type="dxa"/>
            <w:vMerge/>
            <w:vAlign w:val="center"/>
          </w:tcPr>
          <w:p w14:paraId="14BD8B80" w14:textId="77777777" w:rsidR="0008150F" w:rsidRPr="0008150F" w:rsidRDefault="0008150F" w:rsidP="0008150F">
            <w:pPr>
              <w:overflowPunct w:val="0"/>
              <w:autoSpaceDE w:val="0"/>
              <w:autoSpaceDN w:val="0"/>
              <w:adjustRightInd w:val="0"/>
              <w:spacing w:line="240" w:lineRule="atLeast"/>
              <w:jc w:val="right"/>
              <w:textAlignment w:val="baseline"/>
              <w:rPr>
                <w:rFonts w:cs="Arial"/>
                <w:sz w:val="18"/>
                <w:szCs w:val="18"/>
                <w:highlight w:val="yellow"/>
                <w:lang w:val="sl-SI" w:eastAsia="sl-SI"/>
              </w:rPr>
            </w:pPr>
          </w:p>
        </w:tc>
        <w:tc>
          <w:tcPr>
            <w:tcW w:w="1559" w:type="dxa"/>
            <w:vMerge/>
            <w:vAlign w:val="center"/>
          </w:tcPr>
          <w:p w14:paraId="469D68B1" w14:textId="77777777" w:rsidR="0008150F" w:rsidRPr="0008150F" w:rsidRDefault="0008150F" w:rsidP="0008150F">
            <w:pPr>
              <w:overflowPunct w:val="0"/>
              <w:autoSpaceDE w:val="0"/>
              <w:autoSpaceDN w:val="0"/>
              <w:adjustRightInd w:val="0"/>
              <w:spacing w:line="240" w:lineRule="atLeast"/>
              <w:jc w:val="right"/>
              <w:textAlignment w:val="baseline"/>
              <w:rPr>
                <w:rFonts w:cs="Arial"/>
                <w:sz w:val="18"/>
                <w:szCs w:val="18"/>
                <w:highlight w:val="yellow"/>
                <w:lang w:val="sl-SI" w:eastAsia="sl-SI"/>
              </w:rPr>
            </w:pPr>
          </w:p>
        </w:tc>
        <w:tc>
          <w:tcPr>
            <w:tcW w:w="1701" w:type="dxa"/>
            <w:vMerge/>
            <w:vAlign w:val="center"/>
          </w:tcPr>
          <w:p w14:paraId="1FC63B2D" w14:textId="77777777" w:rsidR="0008150F" w:rsidRPr="0008150F" w:rsidRDefault="0008150F" w:rsidP="0008150F">
            <w:pPr>
              <w:overflowPunct w:val="0"/>
              <w:autoSpaceDE w:val="0"/>
              <w:autoSpaceDN w:val="0"/>
              <w:adjustRightInd w:val="0"/>
              <w:spacing w:line="240" w:lineRule="atLeast"/>
              <w:jc w:val="right"/>
              <w:textAlignment w:val="baseline"/>
              <w:rPr>
                <w:rFonts w:cs="Arial"/>
                <w:sz w:val="18"/>
                <w:szCs w:val="18"/>
                <w:highlight w:val="yellow"/>
                <w:lang w:val="sl-SI" w:eastAsia="sl-SI"/>
              </w:rPr>
            </w:pPr>
          </w:p>
        </w:tc>
      </w:tr>
      <w:tr w:rsidR="0008150F" w:rsidRPr="0008150F" w14:paraId="465BEED3" w14:textId="77777777" w:rsidTr="00E557A0">
        <w:tc>
          <w:tcPr>
            <w:tcW w:w="2863" w:type="dxa"/>
          </w:tcPr>
          <w:p w14:paraId="24C5B55F" w14:textId="77777777" w:rsidR="0008150F" w:rsidRPr="0008150F" w:rsidRDefault="0008150F" w:rsidP="0008150F">
            <w:pPr>
              <w:suppressAutoHyphens/>
              <w:overflowPunct w:val="0"/>
              <w:autoSpaceDE w:val="0"/>
              <w:autoSpaceDN w:val="0"/>
              <w:adjustRightInd w:val="0"/>
              <w:spacing w:line="240" w:lineRule="atLeast"/>
              <w:ind w:right="678"/>
              <w:textAlignment w:val="baseline"/>
              <w:outlineLvl w:val="3"/>
              <w:rPr>
                <w:rFonts w:cs="Arial"/>
                <w:bCs/>
                <w:sz w:val="18"/>
                <w:szCs w:val="18"/>
                <w:lang w:val="sl-SI" w:eastAsia="sl-SI"/>
              </w:rPr>
            </w:pPr>
            <w:r w:rsidRPr="0008150F">
              <w:rPr>
                <w:rFonts w:cs="Arial"/>
                <w:sz w:val="18"/>
                <w:szCs w:val="18"/>
                <w:lang w:val="sl-SI" w:eastAsia="sl-SI"/>
              </w:rPr>
              <w:t xml:space="preserve">Vzpostavitev in delovanje pritožbenega organa (Informacijski pooblaščenec) za </w:t>
            </w:r>
            <w:r w:rsidRPr="0008150F">
              <w:rPr>
                <w:rFonts w:cs="Arial"/>
                <w:bCs/>
                <w:sz w:val="18"/>
                <w:szCs w:val="18"/>
                <w:lang w:val="sl-SI" w:eastAsia="sl-SI"/>
              </w:rPr>
              <w:t>izvajanje Uredbe 2022/868/EU</w:t>
            </w:r>
          </w:p>
          <w:p w14:paraId="4FCBB7CE" w14:textId="77777777" w:rsidR="0008150F" w:rsidRPr="0008150F" w:rsidRDefault="0008150F" w:rsidP="0008150F">
            <w:pPr>
              <w:suppressAutoHyphens/>
              <w:overflowPunct w:val="0"/>
              <w:autoSpaceDE w:val="0"/>
              <w:autoSpaceDN w:val="0"/>
              <w:adjustRightInd w:val="0"/>
              <w:spacing w:line="240" w:lineRule="atLeast"/>
              <w:ind w:right="678"/>
              <w:textAlignment w:val="baseline"/>
              <w:outlineLvl w:val="3"/>
              <w:rPr>
                <w:rFonts w:cs="Arial"/>
                <w:bCs/>
                <w:sz w:val="18"/>
                <w:szCs w:val="18"/>
                <w:lang w:val="sl-SI" w:eastAsia="sl-SI"/>
              </w:rPr>
            </w:pPr>
            <w:r w:rsidRPr="0008150F">
              <w:rPr>
                <w:rFonts w:cs="Arial"/>
                <w:bCs/>
                <w:sz w:val="18"/>
                <w:szCs w:val="18"/>
                <w:lang w:val="sl-SI" w:eastAsia="sl-SI"/>
              </w:rPr>
              <w:t>Strošek zaposlitev:</w:t>
            </w:r>
          </w:p>
          <w:p w14:paraId="55573FD0" w14:textId="77777777" w:rsidR="0008150F" w:rsidRPr="0008150F" w:rsidRDefault="0008150F" w:rsidP="0008150F">
            <w:pPr>
              <w:suppressAutoHyphens/>
              <w:overflowPunct w:val="0"/>
              <w:autoSpaceDE w:val="0"/>
              <w:autoSpaceDN w:val="0"/>
              <w:adjustRightInd w:val="0"/>
              <w:spacing w:line="240" w:lineRule="atLeast"/>
              <w:textAlignment w:val="baseline"/>
              <w:outlineLvl w:val="3"/>
              <w:rPr>
                <w:rFonts w:cs="Arial"/>
                <w:b/>
                <w:sz w:val="18"/>
                <w:szCs w:val="18"/>
                <w:lang w:val="sl-SI" w:eastAsia="sl-SI"/>
              </w:rPr>
            </w:pPr>
            <w:r w:rsidRPr="0008150F">
              <w:rPr>
                <w:rFonts w:cs="Arial"/>
                <w:bCs/>
                <w:sz w:val="18"/>
                <w:szCs w:val="18"/>
                <w:lang w:val="sl-SI" w:eastAsia="sl-SI"/>
              </w:rPr>
              <w:t>2x Sekretar (PR 46-56)</w:t>
            </w:r>
          </w:p>
        </w:tc>
        <w:tc>
          <w:tcPr>
            <w:tcW w:w="1418" w:type="dxa"/>
            <w:vAlign w:val="center"/>
          </w:tcPr>
          <w:p w14:paraId="0F37F092" w14:textId="77777777" w:rsidR="0008150F" w:rsidRPr="0008150F" w:rsidRDefault="0008150F" w:rsidP="0008150F">
            <w:pPr>
              <w:overflowPunct w:val="0"/>
              <w:autoSpaceDE w:val="0"/>
              <w:autoSpaceDN w:val="0"/>
              <w:adjustRightInd w:val="0"/>
              <w:spacing w:line="240" w:lineRule="atLeast"/>
              <w:jc w:val="right"/>
              <w:textAlignment w:val="baseline"/>
              <w:rPr>
                <w:rFonts w:cs="Arial"/>
                <w:sz w:val="18"/>
                <w:szCs w:val="18"/>
                <w:lang w:val="sl-SI" w:eastAsia="sl-SI"/>
              </w:rPr>
            </w:pPr>
            <w:r w:rsidRPr="0008150F">
              <w:rPr>
                <w:rFonts w:cs="Arial"/>
                <w:sz w:val="18"/>
                <w:szCs w:val="18"/>
                <w:lang w:val="sl-SI" w:eastAsia="sl-SI"/>
              </w:rPr>
              <w:t>0 EUR</w:t>
            </w:r>
          </w:p>
        </w:tc>
        <w:tc>
          <w:tcPr>
            <w:tcW w:w="1526" w:type="dxa"/>
            <w:vAlign w:val="center"/>
          </w:tcPr>
          <w:p w14:paraId="7014DAFE" w14:textId="77777777" w:rsidR="0008150F" w:rsidRPr="0008150F" w:rsidRDefault="0008150F" w:rsidP="0008150F">
            <w:pPr>
              <w:overflowPunct w:val="0"/>
              <w:autoSpaceDE w:val="0"/>
              <w:autoSpaceDN w:val="0"/>
              <w:adjustRightInd w:val="0"/>
              <w:spacing w:line="240" w:lineRule="atLeast"/>
              <w:jc w:val="right"/>
              <w:textAlignment w:val="baseline"/>
              <w:rPr>
                <w:rFonts w:cs="Arial"/>
                <w:sz w:val="18"/>
                <w:szCs w:val="18"/>
                <w:lang w:val="sl-SI" w:eastAsia="sl-SI"/>
              </w:rPr>
            </w:pPr>
            <w:r w:rsidRPr="0008150F">
              <w:rPr>
                <w:rFonts w:cs="Arial"/>
                <w:sz w:val="18"/>
                <w:szCs w:val="18"/>
                <w:lang w:val="sl-SI" w:eastAsia="sl-SI"/>
              </w:rPr>
              <w:t>72.000 EUR</w:t>
            </w:r>
          </w:p>
        </w:tc>
        <w:tc>
          <w:tcPr>
            <w:tcW w:w="1559" w:type="dxa"/>
            <w:vAlign w:val="center"/>
          </w:tcPr>
          <w:p w14:paraId="6B2226D3" w14:textId="77777777" w:rsidR="0008150F" w:rsidRPr="0008150F" w:rsidRDefault="0008150F" w:rsidP="0008150F">
            <w:pPr>
              <w:overflowPunct w:val="0"/>
              <w:autoSpaceDE w:val="0"/>
              <w:autoSpaceDN w:val="0"/>
              <w:adjustRightInd w:val="0"/>
              <w:spacing w:line="240" w:lineRule="atLeast"/>
              <w:jc w:val="right"/>
              <w:textAlignment w:val="baseline"/>
              <w:rPr>
                <w:rFonts w:cs="Arial"/>
                <w:sz w:val="18"/>
                <w:szCs w:val="18"/>
                <w:lang w:val="sl-SI" w:eastAsia="sl-SI"/>
              </w:rPr>
            </w:pPr>
            <w:r w:rsidRPr="0008150F">
              <w:rPr>
                <w:rFonts w:cs="Arial"/>
                <w:sz w:val="18"/>
                <w:szCs w:val="18"/>
                <w:lang w:val="sl-SI" w:eastAsia="sl-SI"/>
              </w:rPr>
              <w:t>86.400 EUR</w:t>
            </w:r>
          </w:p>
        </w:tc>
        <w:tc>
          <w:tcPr>
            <w:tcW w:w="1701" w:type="dxa"/>
            <w:vAlign w:val="center"/>
          </w:tcPr>
          <w:p w14:paraId="183863DE" w14:textId="77777777" w:rsidR="0008150F" w:rsidRPr="0008150F" w:rsidRDefault="0008150F" w:rsidP="0008150F">
            <w:pPr>
              <w:overflowPunct w:val="0"/>
              <w:autoSpaceDE w:val="0"/>
              <w:autoSpaceDN w:val="0"/>
              <w:adjustRightInd w:val="0"/>
              <w:spacing w:line="240" w:lineRule="atLeast"/>
              <w:jc w:val="right"/>
              <w:textAlignment w:val="baseline"/>
              <w:rPr>
                <w:rFonts w:cs="Arial"/>
                <w:sz w:val="18"/>
                <w:szCs w:val="18"/>
                <w:lang w:val="sl-SI" w:eastAsia="sl-SI"/>
              </w:rPr>
            </w:pPr>
            <w:r w:rsidRPr="0008150F">
              <w:rPr>
                <w:rFonts w:cs="Arial"/>
                <w:sz w:val="18"/>
                <w:szCs w:val="18"/>
                <w:lang w:val="sl-SI" w:eastAsia="sl-SI"/>
              </w:rPr>
              <w:t>86.400 EUR</w:t>
            </w:r>
          </w:p>
        </w:tc>
      </w:tr>
      <w:tr w:rsidR="0008150F" w:rsidRPr="0008150F" w14:paraId="0206F758" w14:textId="77777777" w:rsidTr="00E557A0">
        <w:tc>
          <w:tcPr>
            <w:tcW w:w="2863" w:type="dxa"/>
          </w:tcPr>
          <w:p w14:paraId="4FE5F0D0" w14:textId="77777777" w:rsidR="0008150F" w:rsidRPr="0008150F" w:rsidRDefault="0008150F" w:rsidP="0008150F">
            <w:pPr>
              <w:suppressAutoHyphens/>
              <w:overflowPunct w:val="0"/>
              <w:autoSpaceDE w:val="0"/>
              <w:autoSpaceDN w:val="0"/>
              <w:adjustRightInd w:val="0"/>
              <w:spacing w:line="240" w:lineRule="atLeast"/>
              <w:ind w:right="-108"/>
              <w:textAlignment w:val="baseline"/>
              <w:outlineLvl w:val="3"/>
              <w:rPr>
                <w:rFonts w:cs="Arial"/>
                <w:bCs/>
                <w:sz w:val="18"/>
                <w:szCs w:val="18"/>
                <w:lang w:val="sl-SI" w:eastAsia="sl-SI"/>
              </w:rPr>
            </w:pPr>
            <w:r w:rsidRPr="0008150F">
              <w:rPr>
                <w:rFonts w:cs="Arial"/>
                <w:sz w:val="18"/>
                <w:szCs w:val="18"/>
                <w:lang w:val="sl-SI" w:eastAsia="sl-SI"/>
              </w:rPr>
              <w:t xml:space="preserve">Vzpostavitev in delovanje </w:t>
            </w:r>
            <w:r w:rsidRPr="0008150F">
              <w:rPr>
                <w:rFonts w:cs="Arial"/>
                <w:bCs/>
                <w:sz w:val="18"/>
                <w:szCs w:val="18"/>
                <w:lang w:val="sl-SI" w:eastAsia="sl-SI"/>
              </w:rPr>
              <w:t>varnega okolja za ponovno uporabo zaščitenih podatkov javnega sektorja v skladu s četrtim odstavkom 7. člena Uredbe 2022/868/EU</w:t>
            </w:r>
          </w:p>
          <w:p w14:paraId="43544570" w14:textId="77777777" w:rsidR="0008150F" w:rsidRPr="0008150F" w:rsidRDefault="0008150F" w:rsidP="0008150F">
            <w:pPr>
              <w:suppressAutoHyphens/>
              <w:overflowPunct w:val="0"/>
              <w:autoSpaceDE w:val="0"/>
              <w:autoSpaceDN w:val="0"/>
              <w:adjustRightInd w:val="0"/>
              <w:spacing w:line="240" w:lineRule="atLeast"/>
              <w:ind w:right="-108"/>
              <w:textAlignment w:val="baseline"/>
              <w:outlineLvl w:val="3"/>
              <w:rPr>
                <w:rFonts w:cs="Arial"/>
                <w:sz w:val="18"/>
                <w:szCs w:val="18"/>
                <w:highlight w:val="yellow"/>
                <w:lang w:val="sl-SI" w:eastAsia="sl-SI"/>
              </w:rPr>
            </w:pPr>
            <w:r w:rsidRPr="0008150F">
              <w:rPr>
                <w:rFonts w:cs="Arial"/>
                <w:sz w:val="18"/>
                <w:szCs w:val="18"/>
                <w:lang w:val="sl-SI" w:eastAsia="sl-SI"/>
              </w:rPr>
              <w:t>(Strošek zaposlitve ter vzpostavitev infrastrukture in vzdrževanja je podrobneje opisan v tabeli 2)</w:t>
            </w:r>
          </w:p>
        </w:tc>
        <w:tc>
          <w:tcPr>
            <w:tcW w:w="1418" w:type="dxa"/>
            <w:vAlign w:val="center"/>
          </w:tcPr>
          <w:p w14:paraId="12F8A66B" w14:textId="77777777" w:rsidR="0008150F" w:rsidRPr="0008150F" w:rsidRDefault="0008150F" w:rsidP="0008150F">
            <w:pPr>
              <w:overflowPunct w:val="0"/>
              <w:autoSpaceDE w:val="0"/>
              <w:autoSpaceDN w:val="0"/>
              <w:adjustRightInd w:val="0"/>
              <w:spacing w:line="240" w:lineRule="atLeast"/>
              <w:jc w:val="right"/>
              <w:textAlignment w:val="baseline"/>
              <w:rPr>
                <w:rFonts w:cs="Arial"/>
                <w:sz w:val="18"/>
                <w:szCs w:val="18"/>
                <w:highlight w:val="yellow"/>
                <w:lang w:val="sl-SI" w:eastAsia="sl-SI"/>
              </w:rPr>
            </w:pPr>
            <w:r w:rsidRPr="0008150F">
              <w:rPr>
                <w:rFonts w:cs="Arial"/>
                <w:sz w:val="18"/>
                <w:szCs w:val="18"/>
                <w:lang w:val="sl-SI" w:eastAsia="sl-SI"/>
              </w:rPr>
              <w:t>0 EUR</w:t>
            </w:r>
          </w:p>
        </w:tc>
        <w:tc>
          <w:tcPr>
            <w:tcW w:w="1526" w:type="dxa"/>
            <w:vAlign w:val="center"/>
          </w:tcPr>
          <w:p w14:paraId="68150A58" w14:textId="77777777" w:rsidR="0008150F" w:rsidRPr="0008150F" w:rsidRDefault="0008150F" w:rsidP="0008150F">
            <w:pPr>
              <w:overflowPunct w:val="0"/>
              <w:autoSpaceDE w:val="0"/>
              <w:autoSpaceDN w:val="0"/>
              <w:adjustRightInd w:val="0"/>
              <w:spacing w:line="240" w:lineRule="atLeast"/>
              <w:jc w:val="right"/>
              <w:textAlignment w:val="baseline"/>
              <w:rPr>
                <w:rFonts w:cs="Arial"/>
                <w:sz w:val="18"/>
                <w:szCs w:val="18"/>
                <w:lang w:val="sl-SI" w:eastAsia="sl-SI"/>
              </w:rPr>
            </w:pPr>
            <w:r w:rsidRPr="0008150F">
              <w:rPr>
                <w:rFonts w:cs="Arial"/>
                <w:sz w:val="18"/>
                <w:szCs w:val="18"/>
                <w:lang w:val="sl-SI" w:eastAsia="sl-SI"/>
              </w:rPr>
              <w:t>261.547 EUR</w:t>
            </w:r>
          </w:p>
        </w:tc>
        <w:tc>
          <w:tcPr>
            <w:tcW w:w="1559" w:type="dxa"/>
            <w:vAlign w:val="center"/>
          </w:tcPr>
          <w:p w14:paraId="0A3ACA02" w14:textId="77777777" w:rsidR="0008150F" w:rsidRPr="0008150F" w:rsidRDefault="0008150F" w:rsidP="0008150F">
            <w:pPr>
              <w:overflowPunct w:val="0"/>
              <w:autoSpaceDE w:val="0"/>
              <w:autoSpaceDN w:val="0"/>
              <w:adjustRightInd w:val="0"/>
              <w:spacing w:line="240" w:lineRule="atLeast"/>
              <w:jc w:val="right"/>
              <w:textAlignment w:val="baseline"/>
              <w:rPr>
                <w:rFonts w:cs="Arial"/>
                <w:sz w:val="18"/>
                <w:szCs w:val="18"/>
                <w:lang w:val="sl-SI" w:eastAsia="sl-SI"/>
              </w:rPr>
            </w:pPr>
            <w:r w:rsidRPr="0008150F">
              <w:rPr>
                <w:rFonts w:cs="Arial"/>
                <w:sz w:val="18"/>
                <w:szCs w:val="18"/>
                <w:lang w:val="sl-SI" w:eastAsia="sl-SI"/>
              </w:rPr>
              <w:t>69.029 EUR</w:t>
            </w:r>
          </w:p>
        </w:tc>
        <w:tc>
          <w:tcPr>
            <w:tcW w:w="1701" w:type="dxa"/>
            <w:vAlign w:val="center"/>
          </w:tcPr>
          <w:p w14:paraId="0C6461C2" w14:textId="77777777" w:rsidR="0008150F" w:rsidRPr="0008150F" w:rsidRDefault="0008150F" w:rsidP="0008150F">
            <w:pPr>
              <w:overflowPunct w:val="0"/>
              <w:autoSpaceDE w:val="0"/>
              <w:autoSpaceDN w:val="0"/>
              <w:adjustRightInd w:val="0"/>
              <w:spacing w:line="240" w:lineRule="atLeast"/>
              <w:jc w:val="right"/>
              <w:textAlignment w:val="baseline"/>
              <w:rPr>
                <w:rFonts w:cs="Arial"/>
                <w:sz w:val="18"/>
                <w:szCs w:val="18"/>
                <w:lang w:val="sl-SI" w:eastAsia="sl-SI"/>
              </w:rPr>
            </w:pPr>
            <w:r w:rsidRPr="0008150F">
              <w:rPr>
                <w:rFonts w:cs="Arial"/>
                <w:sz w:val="18"/>
                <w:szCs w:val="18"/>
                <w:lang w:val="sl-SI" w:eastAsia="sl-SI"/>
              </w:rPr>
              <w:t>69.029 EUR</w:t>
            </w:r>
          </w:p>
        </w:tc>
      </w:tr>
      <w:tr w:rsidR="0008150F" w:rsidRPr="0008150F" w14:paraId="3CD14A9F" w14:textId="77777777" w:rsidTr="00E557A0">
        <w:tc>
          <w:tcPr>
            <w:tcW w:w="2863" w:type="dxa"/>
          </w:tcPr>
          <w:p w14:paraId="604B905B" w14:textId="77777777" w:rsidR="0008150F" w:rsidRPr="0008150F" w:rsidRDefault="0008150F" w:rsidP="0008150F">
            <w:pPr>
              <w:suppressAutoHyphens/>
              <w:overflowPunct w:val="0"/>
              <w:autoSpaceDE w:val="0"/>
              <w:autoSpaceDN w:val="0"/>
              <w:adjustRightInd w:val="0"/>
              <w:spacing w:line="240" w:lineRule="atLeast"/>
              <w:ind w:right="-108"/>
              <w:textAlignment w:val="baseline"/>
              <w:outlineLvl w:val="3"/>
              <w:rPr>
                <w:rFonts w:cs="Arial"/>
                <w:bCs/>
                <w:sz w:val="18"/>
                <w:szCs w:val="18"/>
                <w:lang w:val="sl-SI" w:eastAsia="sl-SI"/>
              </w:rPr>
            </w:pPr>
            <w:r w:rsidRPr="0008150F">
              <w:rPr>
                <w:rFonts w:cs="Arial"/>
                <w:sz w:val="18"/>
                <w:szCs w:val="18"/>
                <w:lang w:val="sl-SI" w:eastAsia="sl-SI"/>
              </w:rPr>
              <w:t xml:space="preserve">Vzpostavitev in delovanje aplikativne podpore za delovanje </w:t>
            </w:r>
            <w:r w:rsidRPr="0008150F">
              <w:rPr>
                <w:rFonts w:cs="Arial"/>
                <w:bCs/>
                <w:sz w:val="18"/>
                <w:szCs w:val="18"/>
                <w:lang w:val="sl-SI" w:eastAsia="sl-SI"/>
              </w:rPr>
              <w:t>varnega okolja za ponovno uporabo zaščitenih podatkov javnega sektorja s četrtim odstavkom 7. člena Uredbe 2022/868/EU</w:t>
            </w:r>
          </w:p>
          <w:p w14:paraId="4DEDE567" w14:textId="77777777" w:rsidR="0008150F" w:rsidRPr="0008150F" w:rsidRDefault="0008150F" w:rsidP="0008150F">
            <w:pPr>
              <w:suppressAutoHyphens/>
              <w:overflowPunct w:val="0"/>
              <w:autoSpaceDE w:val="0"/>
              <w:autoSpaceDN w:val="0"/>
              <w:adjustRightInd w:val="0"/>
              <w:spacing w:line="240" w:lineRule="atLeast"/>
              <w:ind w:right="-108"/>
              <w:textAlignment w:val="baseline"/>
              <w:outlineLvl w:val="3"/>
              <w:rPr>
                <w:rFonts w:cs="Arial"/>
                <w:sz w:val="18"/>
                <w:szCs w:val="18"/>
                <w:highlight w:val="yellow"/>
                <w:lang w:val="sl-SI" w:eastAsia="sl-SI"/>
              </w:rPr>
            </w:pPr>
            <w:r w:rsidRPr="0008150F">
              <w:rPr>
                <w:rFonts w:cs="Arial"/>
                <w:sz w:val="18"/>
                <w:szCs w:val="18"/>
                <w:lang w:val="sl-SI" w:eastAsia="sl-SI"/>
              </w:rPr>
              <w:t>(Strošek zaposlitve ter vzpostavitev in vzdrževanja aplikativne podpore je podrobneje opisan v tabeli 3)</w:t>
            </w:r>
          </w:p>
        </w:tc>
        <w:tc>
          <w:tcPr>
            <w:tcW w:w="1418" w:type="dxa"/>
            <w:vAlign w:val="center"/>
          </w:tcPr>
          <w:p w14:paraId="3A8671F1" w14:textId="77777777" w:rsidR="0008150F" w:rsidRPr="0008150F" w:rsidRDefault="0008150F" w:rsidP="006E5D8B">
            <w:pPr>
              <w:overflowPunct w:val="0"/>
              <w:autoSpaceDE w:val="0"/>
              <w:autoSpaceDN w:val="0"/>
              <w:adjustRightInd w:val="0"/>
              <w:spacing w:line="240" w:lineRule="atLeast"/>
              <w:jc w:val="right"/>
              <w:textAlignment w:val="baseline"/>
              <w:rPr>
                <w:rFonts w:cs="Arial"/>
                <w:sz w:val="18"/>
                <w:szCs w:val="18"/>
                <w:highlight w:val="yellow"/>
                <w:lang w:val="sl-SI" w:eastAsia="sl-SI"/>
              </w:rPr>
            </w:pPr>
            <w:r w:rsidRPr="0008150F">
              <w:rPr>
                <w:rFonts w:cs="Arial"/>
                <w:sz w:val="18"/>
                <w:szCs w:val="18"/>
                <w:lang w:val="sl-SI" w:eastAsia="sl-SI"/>
              </w:rPr>
              <w:t>0 EUR</w:t>
            </w:r>
          </w:p>
        </w:tc>
        <w:tc>
          <w:tcPr>
            <w:tcW w:w="1526" w:type="dxa"/>
            <w:vAlign w:val="center"/>
          </w:tcPr>
          <w:p w14:paraId="52CDF601" w14:textId="77777777" w:rsidR="0008150F" w:rsidRPr="0008150F" w:rsidRDefault="0008150F" w:rsidP="006E5D8B">
            <w:pPr>
              <w:overflowPunct w:val="0"/>
              <w:autoSpaceDE w:val="0"/>
              <w:autoSpaceDN w:val="0"/>
              <w:adjustRightInd w:val="0"/>
              <w:spacing w:line="240" w:lineRule="atLeast"/>
              <w:jc w:val="right"/>
              <w:textAlignment w:val="baseline"/>
              <w:rPr>
                <w:rFonts w:cs="Arial"/>
                <w:bCs/>
                <w:sz w:val="18"/>
                <w:szCs w:val="18"/>
                <w:highlight w:val="yellow"/>
                <w:lang w:eastAsia="sl-SI"/>
              </w:rPr>
            </w:pPr>
            <w:r w:rsidRPr="0008150F">
              <w:rPr>
                <w:rFonts w:cs="Arial"/>
                <w:sz w:val="18"/>
                <w:szCs w:val="18"/>
                <w:lang w:eastAsia="sl-SI"/>
              </w:rPr>
              <w:t>558.711 EUR</w:t>
            </w:r>
          </w:p>
        </w:tc>
        <w:tc>
          <w:tcPr>
            <w:tcW w:w="1559" w:type="dxa"/>
            <w:vAlign w:val="center"/>
          </w:tcPr>
          <w:p w14:paraId="42635AD5" w14:textId="77777777" w:rsidR="0008150F" w:rsidRPr="0008150F" w:rsidRDefault="0008150F" w:rsidP="006E5D8B">
            <w:pPr>
              <w:overflowPunct w:val="0"/>
              <w:autoSpaceDE w:val="0"/>
              <w:autoSpaceDN w:val="0"/>
              <w:adjustRightInd w:val="0"/>
              <w:spacing w:line="240" w:lineRule="atLeast"/>
              <w:jc w:val="right"/>
              <w:textAlignment w:val="baseline"/>
              <w:rPr>
                <w:rFonts w:cs="Arial"/>
                <w:sz w:val="18"/>
                <w:szCs w:val="18"/>
                <w:lang w:eastAsia="sl-SI"/>
              </w:rPr>
            </w:pPr>
            <w:r w:rsidRPr="0008150F">
              <w:rPr>
                <w:rFonts w:cs="Arial"/>
                <w:sz w:val="18"/>
                <w:szCs w:val="18"/>
                <w:lang w:eastAsia="sl-SI"/>
              </w:rPr>
              <w:t>586.454 EUR</w:t>
            </w:r>
          </w:p>
        </w:tc>
        <w:tc>
          <w:tcPr>
            <w:tcW w:w="1701" w:type="dxa"/>
            <w:vAlign w:val="center"/>
          </w:tcPr>
          <w:p w14:paraId="78A06861" w14:textId="77777777" w:rsidR="0008150F" w:rsidRPr="0008150F" w:rsidRDefault="0008150F" w:rsidP="006E5D8B">
            <w:pPr>
              <w:overflowPunct w:val="0"/>
              <w:autoSpaceDE w:val="0"/>
              <w:autoSpaceDN w:val="0"/>
              <w:adjustRightInd w:val="0"/>
              <w:spacing w:line="240" w:lineRule="atLeast"/>
              <w:jc w:val="right"/>
              <w:textAlignment w:val="baseline"/>
              <w:rPr>
                <w:rFonts w:cs="Arial"/>
                <w:sz w:val="18"/>
                <w:szCs w:val="18"/>
                <w:lang w:eastAsia="sl-SI"/>
              </w:rPr>
            </w:pPr>
            <w:r w:rsidRPr="0008150F">
              <w:rPr>
                <w:rFonts w:cs="Arial"/>
                <w:sz w:val="18"/>
                <w:szCs w:val="18"/>
                <w:lang w:eastAsia="sl-SI"/>
              </w:rPr>
              <w:t>551.454 EUR</w:t>
            </w:r>
          </w:p>
        </w:tc>
      </w:tr>
      <w:tr w:rsidR="0008150F" w:rsidRPr="0008150F" w14:paraId="20A9A4E4" w14:textId="77777777" w:rsidTr="00E557A0">
        <w:tc>
          <w:tcPr>
            <w:tcW w:w="2863" w:type="dxa"/>
          </w:tcPr>
          <w:p w14:paraId="4428997E" w14:textId="77777777" w:rsidR="0008150F" w:rsidRPr="0008150F" w:rsidRDefault="0008150F" w:rsidP="0008150F">
            <w:pPr>
              <w:overflowPunct w:val="0"/>
              <w:autoSpaceDE w:val="0"/>
              <w:autoSpaceDN w:val="0"/>
              <w:adjustRightInd w:val="0"/>
              <w:spacing w:line="240" w:lineRule="atLeast"/>
              <w:textAlignment w:val="baseline"/>
              <w:rPr>
                <w:rFonts w:cs="Arial"/>
                <w:sz w:val="18"/>
                <w:szCs w:val="18"/>
                <w:lang w:val="sl-SI" w:eastAsia="sl-SI"/>
              </w:rPr>
            </w:pPr>
            <w:r w:rsidRPr="0008150F">
              <w:rPr>
                <w:rFonts w:cs="Arial"/>
                <w:sz w:val="18"/>
                <w:szCs w:val="18"/>
                <w:lang w:val="sl-SI" w:eastAsia="sl-SI"/>
              </w:rPr>
              <w:t>Vzpostavitev in delovanje nadzora nad izvajanjem Uredbe 2022/868/EU</w:t>
            </w:r>
          </w:p>
          <w:p w14:paraId="6495478B" w14:textId="77777777" w:rsidR="0008150F" w:rsidRPr="0008150F" w:rsidRDefault="0008150F" w:rsidP="0008150F">
            <w:pPr>
              <w:suppressAutoHyphens/>
              <w:overflowPunct w:val="0"/>
              <w:autoSpaceDE w:val="0"/>
              <w:autoSpaceDN w:val="0"/>
              <w:adjustRightInd w:val="0"/>
              <w:spacing w:line="240" w:lineRule="atLeast"/>
              <w:ind w:right="678"/>
              <w:textAlignment w:val="baseline"/>
              <w:outlineLvl w:val="3"/>
              <w:rPr>
                <w:rFonts w:cs="Arial"/>
                <w:bCs/>
                <w:sz w:val="18"/>
                <w:szCs w:val="18"/>
                <w:lang w:val="sl-SI" w:eastAsia="sl-SI"/>
              </w:rPr>
            </w:pPr>
            <w:r w:rsidRPr="0008150F">
              <w:rPr>
                <w:rFonts w:cs="Arial"/>
                <w:bCs/>
                <w:sz w:val="18"/>
                <w:szCs w:val="18"/>
                <w:lang w:val="sl-SI" w:eastAsia="sl-SI"/>
              </w:rPr>
              <w:t>Strošek zaposlitev:</w:t>
            </w:r>
          </w:p>
          <w:p w14:paraId="4DE6985B" w14:textId="77777777" w:rsidR="0008150F" w:rsidRPr="0008150F" w:rsidRDefault="0008150F" w:rsidP="0008150F">
            <w:pPr>
              <w:overflowPunct w:val="0"/>
              <w:autoSpaceDE w:val="0"/>
              <w:autoSpaceDN w:val="0"/>
              <w:adjustRightInd w:val="0"/>
              <w:spacing w:line="240" w:lineRule="atLeast"/>
              <w:textAlignment w:val="baseline"/>
              <w:rPr>
                <w:rFonts w:cs="Arial"/>
                <w:b/>
                <w:bCs/>
                <w:sz w:val="18"/>
                <w:szCs w:val="18"/>
                <w:highlight w:val="yellow"/>
                <w:lang w:val="sl-SI" w:eastAsia="sl-SI"/>
              </w:rPr>
            </w:pPr>
            <w:r w:rsidRPr="0008150F">
              <w:rPr>
                <w:rFonts w:cs="Arial"/>
                <w:bCs/>
                <w:sz w:val="18"/>
                <w:szCs w:val="18"/>
                <w:lang w:val="sl-SI" w:eastAsia="sl-SI"/>
              </w:rPr>
              <w:t>1x Podsekretar (PR 43-53)</w:t>
            </w:r>
          </w:p>
        </w:tc>
        <w:tc>
          <w:tcPr>
            <w:tcW w:w="1418" w:type="dxa"/>
            <w:vAlign w:val="center"/>
          </w:tcPr>
          <w:p w14:paraId="226FB460" w14:textId="77777777" w:rsidR="0008150F" w:rsidRPr="0008150F" w:rsidRDefault="0008150F" w:rsidP="006E5D8B">
            <w:pPr>
              <w:overflowPunct w:val="0"/>
              <w:autoSpaceDE w:val="0"/>
              <w:autoSpaceDN w:val="0"/>
              <w:adjustRightInd w:val="0"/>
              <w:spacing w:line="240" w:lineRule="atLeast"/>
              <w:jc w:val="right"/>
              <w:textAlignment w:val="baseline"/>
              <w:rPr>
                <w:rFonts w:cs="Arial"/>
                <w:sz w:val="18"/>
                <w:szCs w:val="18"/>
                <w:highlight w:val="yellow"/>
                <w:lang w:val="sl-SI" w:eastAsia="sl-SI"/>
              </w:rPr>
            </w:pPr>
            <w:r w:rsidRPr="0008150F">
              <w:rPr>
                <w:rFonts w:cs="Arial"/>
                <w:sz w:val="18"/>
                <w:szCs w:val="18"/>
                <w:lang w:val="sl-SI" w:eastAsia="sl-SI"/>
              </w:rPr>
              <w:t>0 EUR</w:t>
            </w:r>
          </w:p>
        </w:tc>
        <w:tc>
          <w:tcPr>
            <w:tcW w:w="1526" w:type="dxa"/>
            <w:vAlign w:val="center"/>
          </w:tcPr>
          <w:p w14:paraId="32678E22" w14:textId="77777777" w:rsidR="0008150F" w:rsidRPr="0008150F" w:rsidRDefault="0008150F" w:rsidP="006E5D8B">
            <w:pPr>
              <w:overflowPunct w:val="0"/>
              <w:autoSpaceDE w:val="0"/>
              <w:autoSpaceDN w:val="0"/>
              <w:adjustRightInd w:val="0"/>
              <w:spacing w:line="240" w:lineRule="atLeast"/>
              <w:jc w:val="right"/>
              <w:textAlignment w:val="baseline"/>
              <w:rPr>
                <w:rFonts w:cs="Arial"/>
                <w:sz w:val="18"/>
                <w:szCs w:val="18"/>
                <w:lang w:val="sl-SI" w:eastAsia="sl-SI"/>
              </w:rPr>
            </w:pPr>
            <w:r w:rsidRPr="0008150F">
              <w:rPr>
                <w:rFonts w:cs="Arial"/>
                <w:sz w:val="18"/>
                <w:szCs w:val="18"/>
                <w:lang w:val="sl-SI" w:eastAsia="sl-SI"/>
              </w:rPr>
              <w:t>34.926 EUR</w:t>
            </w:r>
          </w:p>
        </w:tc>
        <w:tc>
          <w:tcPr>
            <w:tcW w:w="1559" w:type="dxa"/>
            <w:vAlign w:val="center"/>
          </w:tcPr>
          <w:p w14:paraId="49C47E3A" w14:textId="77777777" w:rsidR="0008150F" w:rsidRPr="0008150F" w:rsidRDefault="0008150F" w:rsidP="006E5D8B">
            <w:pPr>
              <w:overflowPunct w:val="0"/>
              <w:autoSpaceDE w:val="0"/>
              <w:autoSpaceDN w:val="0"/>
              <w:adjustRightInd w:val="0"/>
              <w:spacing w:line="240" w:lineRule="atLeast"/>
              <w:jc w:val="right"/>
              <w:textAlignment w:val="baseline"/>
              <w:rPr>
                <w:rFonts w:cs="Arial"/>
                <w:sz w:val="18"/>
                <w:szCs w:val="18"/>
                <w:lang w:val="sl-SI" w:eastAsia="sl-SI"/>
              </w:rPr>
            </w:pPr>
            <w:r w:rsidRPr="0008150F">
              <w:rPr>
                <w:rFonts w:cs="Arial"/>
                <w:sz w:val="18"/>
                <w:szCs w:val="18"/>
                <w:lang w:val="sl-SI" w:eastAsia="sl-SI"/>
              </w:rPr>
              <w:t>41.912 EUR</w:t>
            </w:r>
          </w:p>
        </w:tc>
        <w:tc>
          <w:tcPr>
            <w:tcW w:w="1701" w:type="dxa"/>
            <w:vAlign w:val="center"/>
          </w:tcPr>
          <w:p w14:paraId="122B42AD" w14:textId="77777777" w:rsidR="0008150F" w:rsidRPr="0008150F" w:rsidRDefault="0008150F" w:rsidP="006E5D8B">
            <w:pPr>
              <w:overflowPunct w:val="0"/>
              <w:autoSpaceDE w:val="0"/>
              <w:autoSpaceDN w:val="0"/>
              <w:adjustRightInd w:val="0"/>
              <w:spacing w:line="240" w:lineRule="atLeast"/>
              <w:jc w:val="right"/>
              <w:textAlignment w:val="baseline"/>
              <w:rPr>
                <w:rFonts w:cs="Arial"/>
                <w:sz w:val="18"/>
                <w:szCs w:val="18"/>
                <w:lang w:val="sl-SI" w:eastAsia="sl-SI"/>
              </w:rPr>
            </w:pPr>
            <w:r w:rsidRPr="0008150F">
              <w:rPr>
                <w:rFonts w:cs="Arial"/>
                <w:sz w:val="18"/>
                <w:szCs w:val="18"/>
                <w:lang w:val="sl-SI" w:eastAsia="sl-SI"/>
              </w:rPr>
              <w:t>41.912 EUR</w:t>
            </w:r>
          </w:p>
        </w:tc>
      </w:tr>
      <w:tr w:rsidR="0008150F" w:rsidRPr="0008150F" w14:paraId="2A9BB186" w14:textId="77777777" w:rsidTr="00E557A0">
        <w:tc>
          <w:tcPr>
            <w:tcW w:w="2863" w:type="dxa"/>
          </w:tcPr>
          <w:p w14:paraId="27278197" w14:textId="77777777" w:rsidR="0008150F" w:rsidRPr="0008150F" w:rsidRDefault="0008150F" w:rsidP="0008150F">
            <w:pPr>
              <w:overflowPunct w:val="0"/>
              <w:autoSpaceDE w:val="0"/>
              <w:autoSpaceDN w:val="0"/>
              <w:adjustRightInd w:val="0"/>
              <w:spacing w:line="240" w:lineRule="atLeast"/>
              <w:textAlignment w:val="baseline"/>
              <w:rPr>
                <w:rFonts w:cs="Arial"/>
                <w:sz w:val="18"/>
                <w:szCs w:val="18"/>
                <w:lang w:val="sl-SI" w:eastAsia="sl-SI"/>
              </w:rPr>
            </w:pPr>
            <w:r w:rsidRPr="0008150F">
              <w:rPr>
                <w:rFonts w:cs="Arial"/>
                <w:sz w:val="18"/>
                <w:szCs w:val="18"/>
                <w:lang w:val="sl-SI" w:eastAsia="sl-SI"/>
              </w:rPr>
              <w:t>Vzpostavitev in delovanje enotne informacijske točke v skladu z 8. členom Uredbe 2022/868/EU</w:t>
            </w:r>
          </w:p>
          <w:p w14:paraId="31A351A0" w14:textId="77777777" w:rsidR="0008150F" w:rsidRPr="0008150F" w:rsidRDefault="0008150F" w:rsidP="0008150F">
            <w:pPr>
              <w:overflowPunct w:val="0"/>
              <w:autoSpaceDE w:val="0"/>
              <w:autoSpaceDN w:val="0"/>
              <w:adjustRightInd w:val="0"/>
              <w:spacing w:line="240" w:lineRule="atLeast"/>
              <w:textAlignment w:val="baseline"/>
              <w:rPr>
                <w:rFonts w:cs="Arial"/>
                <w:b/>
                <w:sz w:val="18"/>
                <w:szCs w:val="18"/>
                <w:highlight w:val="yellow"/>
                <w:lang w:val="sl-SI" w:eastAsia="sl-SI"/>
              </w:rPr>
            </w:pPr>
            <w:r w:rsidRPr="0008150F">
              <w:rPr>
                <w:rFonts w:cs="Arial"/>
                <w:b/>
                <w:sz w:val="18"/>
                <w:szCs w:val="18"/>
                <w:lang w:val="sl-SI" w:eastAsia="sl-SI"/>
              </w:rPr>
              <w:t>(</w:t>
            </w:r>
            <w:r w:rsidRPr="0008150F">
              <w:rPr>
                <w:rFonts w:cs="Arial"/>
                <w:bCs/>
                <w:sz w:val="18"/>
                <w:szCs w:val="18"/>
                <w:lang w:val="sl-SI" w:eastAsia="sl-SI"/>
              </w:rPr>
              <w:t>Strošek vzpostavitev infrastrukture je podrobneje opisan v tabeli 3)</w:t>
            </w:r>
          </w:p>
        </w:tc>
        <w:tc>
          <w:tcPr>
            <w:tcW w:w="1418" w:type="dxa"/>
            <w:vAlign w:val="center"/>
          </w:tcPr>
          <w:p w14:paraId="617F43CF" w14:textId="77777777" w:rsidR="0008150F" w:rsidRPr="0008150F" w:rsidRDefault="0008150F" w:rsidP="006E5D8B">
            <w:pPr>
              <w:overflowPunct w:val="0"/>
              <w:autoSpaceDE w:val="0"/>
              <w:autoSpaceDN w:val="0"/>
              <w:adjustRightInd w:val="0"/>
              <w:spacing w:line="240" w:lineRule="atLeast"/>
              <w:jc w:val="right"/>
              <w:textAlignment w:val="baseline"/>
              <w:rPr>
                <w:rFonts w:cs="Arial"/>
                <w:sz w:val="18"/>
                <w:szCs w:val="18"/>
                <w:lang w:val="sl-SI" w:eastAsia="sl-SI"/>
              </w:rPr>
            </w:pPr>
            <w:r w:rsidRPr="0008150F">
              <w:rPr>
                <w:rFonts w:cs="Arial"/>
                <w:sz w:val="18"/>
                <w:szCs w:val="18"/>
                <w:lang w:val="sl-SI" w:eastAsia="sl-SI"/>
              </w:rPr>
              <w:t>0 EUR</w:t>
            </w:r>
          </w:p>
        </w:tc>
        <w:tc>
          <w:tcPr>
            <w:tcW w:w="1526" w:type="dxa"/>
            <w:vAlign w:val="center"/>
          </w:tcPr>
          <w:p w14:paraId="6A59507C" w14:textId="77777777" w:rsidR="0008150F" w:rsidRPr="0008150F" w:rsidRDefault="0008150F" w:rsidP="006E5D8B">
            <w:pPr>
              <w:overflowPunct w:val="0"/>
              <w:autoSpaceDE w:val="0"/>
              <w:autoSpaceDN w:val="0"/>
              <w:adjustRightInd w:val="0"/>
              <w:spacing w:line="240" w:lineRule="atLeast"/>
              <w:jc w:val="right"/>
              <w:textAlignment w:val="baseline"/>
              <w:rPr>
                <w:rFonts w:cs="Arial"/>
                <w:sz w:val="18"/>
                <w:szCs w:val="18"/>
                <w:lang w:val="sl-SI" w:eastAsia="sl-SI"/>
              </w:rPr>
            </w:pPr>
            <w:r w:rsidRPr="0008150F">
              <w:rPr>
                <w:rFonts w:cs="Arial"/>
                <w:sz w:val="18"/>
                <w:szCs w:val="18"/>
                <w:lang w:val="sl-SI" w:eastAsia="sl-SI"/>
              </w:rPr>
              <w:t>55.000 EUR</w:t>
            </w:r>
          </w:p>
        </w:tc>
        <w:tc>
          <w:tcPr>
            <w:tcW w:w="1559" w:type="dxa"/>
            <w:vAlign w:val="center"/>
          </w:tcPr>
          <w:p w14:paraId="7F71A1A6" w14:textId="2DAC15CF" w:rsidR="0008150F" w:rsidRPr="0008150F" w:rsidRDefault="0008150F" w:rsidP="006E5D8B">
            <w:pPr>
              <w:overflowPunct w:val="0"/>
              <w:autoSpaceDE w:val="0"/>
              <w:autoSpaceDN w:val="0"/>
              <w:adjustRightInd w:val="0"/>
              <w:spacing w:line="240" w:lineRule="atLeast"/>
              <w:jc w:val="right"/>
              <w:textAlignment w:val="baseline"/>
              <w:rPr>
                <w:rFonts w:cs="Arial"/>
                <w:sz w:val="18"/>
                <w:szCs w:val="18"/>
                <w:lang w:val="sl-SI" w:eastAsia="sl-SI"/>
              </w:rPr>
            </w:pPr>
            <w:r w:rsidRPr="0008150F">
              <w:rPr>
                <w:rFonts w:cs="Arial"/>
                <w:sz w:val="18"/>
                <w:szCs w:val="18"/>
                <w:lang w:val="sl-SI" w:eastAsia="sl-SI"/>
              </w:rPr>
              <w:t>0</w:t>
            </w:r>
            <w:r w:rsidR="006E5D8B">
              <w:rPr>
                <w:rFonts w:cs="Arial"/>
                <w:sz w:val="18"/>
                <w:szCs w:val="18"/>
                <w:lang w:val="sl-SI" w:eastAsia="sl-SI"/>
              </w:rPr>
              <w:t xml:space="preserve"> EUR</w:t>
            </w:r>
          </w:p>
        </w:tc>
        <w:tc>
          <w:tcPr>
            <w:tcW w:w="1701" w:type="dxa"/>
            <w:vAlign w:val="center"/>
          </w:tcPr>
          <w:p w14:paraId="45536021" w14:textId="58CC97F1" w:rsidR="0008150F" w:rsidRPr="0008150F" w:rsidRDefault="0008150F" w:rsidP="006E5D8B">
            <w:pPr>
              <w:overflowPunct w:val="0"/>
              <w:autoSpaceDE w:val="0"/>
              <w:autoSpaceDN w:val="0"/>
              <w:adjustRightInd w:val="0"/>
              <w:spacing w:line="240" w:lineRule="atLeast"/>
              <w:jc w:val="right"/>
              <w:textAlignment w:val="baseline"/>
              <w:rPr>
                <w:rFonts w:cs="Arial"/>
                <w:sz w:val="18"/>
                <w:szCs w:val="18"/>
                <w:lang w:val="sl-SI" w:eastAsia="sl-SI"/>
              </w:rPr>
            </w:pPr>
            <w:r w:rsidRPr="0008150F">
              <w:rPr>
                <w:rFonts w:cs="Arial"/>
                <w:sz w:val="18"/>
                <w:szCs w:val="18"/>
                <w:lang w:val="sl-SI" w:eastAsia="sl-SI"/>
              </w:rPr>
              <w:t>0</w:t>
            </w:r>
            <w:r w:rsidR="006E5D8B">
              <w:rPr>
                <w:rFonts w:cs="Arial"/>
                <w:sz w:val="18"/>
                <w:szCs w:val="18"/>
                <w:lang w:val="sl-SI" w:eastAsia="sl-SI"/>
              </w:rPr>
              <w:t xml:space="preserve"> EUR</w:t>
            </w:r>
          </w:p>
        </w:tc>
      </w:tr>
      <w:tr w:rsidR="0008150F" w:rsidRPr="0008150F" w14:paraId="0FF01BB1" w14:textId="77777777" w:rsidTr="00E557A0">
        <w:tc>
          <w:tcPr>
            <w:tcW w:w="2863" w:type="dxa"/>
          </w:tcPr>
          <w:p w14:paraId="31F62BDC" w14:textId="77777777" w:rsidR="0008150F" w:rsidRPr="0008150F" w:rsidRDefault="0008150F" w:rsidP="0008150F">
            <w:pPr>
              <w:overflowPunct w:val="0"/>
              <w:autoSpaceDE w:val="0"/>
              <w:autoSpaceDN w:val="0"/>
              <w:adjustRightInd w:val="0"/>
              <w:spacing w:line="240" w:lineRule="atLeast"/>
              <w:jc w:val="both"/>
              <w:textAlignment w:val="baseline"/>
              <w:rPr>
                <w:rFonts w:cs="Arial"/>
                <w:b/>
                <w:bCs/>
                <w:sz w:val="18"/>
                <w:szCs w:val="18"/>
                <w:lang w:val="sl-SI" w:eastAsia="sl-SI"/>
              </w:rPr>
            </w:pPr>
            <w:r w:rsidRPr="0008150F">
              <w:rPr>
                <w:rFonts w:cs="Arial"/>
                <w:b/>
                <w:bCs/>
                <w:sz w:val="18"/>
                <w:szCs w:val="18"/>
                <w:lang w:val="sl-SI" w:eastAsia="sl-SI"/>
              </w:rPr>
              <w:t>SKUPAJ</w:t>
            </w:r>
          </w:p>
        </w:tc>
        <w:tc>
          <w:tcPr>
            <w:tcW w:w="1418" w:type="dxa"/>
            <w:vAlign w:val="center"/>
          </w:tcPr>
          <w:p w14:paraId="4BFD6A04" w14:textId="77777777" w:rsidR="0008150F" w:rsidRPr="0008150F" w:rsidRDefault="0008150F" w:rsidP="0008150F">
            <w:pPr>
              <w:overflowPunct w:val="0"/>
              <w:autoSpaceDE w:val="0"/>
              <w:autoSpaceDN w:val="0"/>
              <w:adjustRightInd w:val="0"/>
              <w:spacing w:line="240" w:lineRule="atLeast"/>
              <w:jc w:val="right"/>
              <w:textAlignment w:val="baseline"/>
              <w:rPr>
                <w:rFonts w:cs="Arial"/>
                <w:b/>
                <w:bCs/>
                <w:sz w:val="18"/>
                <w:szCs w:val="18"/>
                <w:highlight w:val="yellow"/>
                <w:lang w:val="sl-SI" w:eastAsia="sl-SI"/>
              </w:rPr>
            </w:pPr>
            <w:r w:rsidRPr="0008150F">
              <w:rPr>
                <w:rFonts w:cs="Arial"/>
                <w:b/>
                <w:bCs/>
                <w:sz w:val="18"/>
                <w:szCs w:val="18"/>
                <w:lang w:val="sl-SI" w:eastAsia="sl-SI"/>
              </w:rPr>
              <w:t>0 EUR</w:t>
            </w:r>
          </w:p>
        </w:tc>
        <w:tc>
          <w:tcPr>
            <w:tcW w:w="1526" w:type="dxa"/>
            <w:vAlign w:val="center"/>
          </w:tcPr>
          <w:p w14:paraId="53D90626" w14:textId="77777777" w:rsidR="0008150F" w:rsidRPr="0008150F" w:rsidRDefault="0008150F" w:rsidP="0008150F">
            <w:pPr>
              <w:overflowPunct w:val="0"/>
              <w:autoSpaceDE w:val="0"/>
              <w:autoSpaceDN w:val="0"/>
              <w:adjustRightInd w:val="0"/>
              <w:spacing w:line="240" w:lineRule="atLeast"/>
              <w:jc w:val="right"/>
              <w:textAlignment w:val="baseline"/>
              <w:rPr>
                <w:rFonts w:cs="Arial"/>
                <w:b/>
                <w:bCs/>
                <w:sz w:val="18"/>
                <w:szCs w:val="18"/>
                <w:highlight w:val="yellow"/>
                <w:lang w:val="sl-SI" w:eastAsia="sl-SI"/>
              </w:rPr>
            </w:pPr>
            <w:r w:rsidRPr="0008150F">
              <w:rPr>
                <w:rFonts w:cs="Arial"/>
                <w:b/>
                <w:bCs/>
                <w:sz w:val="18"/>
                <w:szCs w:val="18"/>
                <w:lang w:val="sl-SI" w:eastAsia="sl-SI"/>
              </w:rPr>
              <w:t>1.009.762 EUR</w:t>
            </w:r>
          </w:p>
        </w:tc>
        <w:tc>
          <w:tcPr>
            <w:tcW w:w="1559" w:type="dxa"/>
            <w:vAlign w:val="center"/>
          </w:tcPr>
          <w:p w14:paraId="47CDD2D2" w14:textId="77777777" w:rsidR="0008150F" w:rsidRPr="0008150F" w:rsidRDefault="0008150F" w:rsidP="0008150F">
            <w:pPr>
              <w:spacing w:line="260" w:lineRule="exact"/>
              <w:jc w:val="right"/>
              <w:rPr>
                <w:rFonts w:cs="Arial"/>
                <w:b/>
                <w:bCs/>
                <w:sz w:val="18"/>
                <w:szCs w:val="18"/>
                <w:lang w:val="sl-SI" w:eastAsia="sl-SI"/>
              </w:rPr>
            </w:pPr>
            <w:r w:rsidRPr="0008150F">
              <w:rPr>
                <w:rFonts w:cs="Arial"/>
                <w:b/>
                <w:bCs/>
                <w:sz w:val="18"/>
                <w:szCs w:val="18"/>
                <w:lang w:val="sl-SI" w:eastAsia="sl-SI"/>
              </w:rPr>
              <w:t>816.889 EUR</w:t>
            </w:r>
          </w:p>
        </w:tc>
        <w:tc>
          <w:tcPr>
            <w:tcW w:w="1701" w:type="dxa"/>
            <w:vAlign w:val="center"/>
          </w:tcPr>
          <w:p w14:paraId="3E1D9529" w14:textId="77777777" w:rsidR="0008150F" w:rsidRPr="0008150F" w:rsidRDefault="0008150F" w:rsidP="0008150F">
            <w:pPr>
              <w:overflowPunct w:val="0"/>
              <w:autoSpaceDE w:val="0"/>
              <w:autoSpaceDN w:val="0"/>
              <w:adjustRightInd w:val="0"/>
              <w:spacing w:line="240" w:lineRule="atLeast"/>
              <w:jc w:val="right"/>
              <w:textAlignment w:val="baseline"/>
              <w:rPr>
                <w:rFonts w:cs="Arial"/>
                <w:b/>
                <w:bCs/>
                <w:sz w:val="18"/>
                <w:szCs w:val="18"/>
                <w:highlight w:val="yellow"/>
                <w:lang w:val="sl-SI" w:eastAsia="sl-SI"/>
              </w:rPr>
            </w:pPr>
            <w:r w:rsidRPr="0008150F">
              <w:rPr>
                <w:rFonts w:cs="Arial"/>
                <w:b/>
                <w:bCs/>
                <w:sz w:val="18"/>
                <w:szCs w:val="18"/>
                <w:lang w:val="sl-SI" w:eastAsia="sl-SI"/>
              </w:rPr>
              <w:t>781.889 EUR</w:t>
            </w:r>
          </w:p>
        </w:tc>
      </w:tr>
    </w:tbl>
    <w:p w14:paraId="4A9C6D2C" w14:textId="77777777" w:rsidR="0008150F" w:rsidRPr="002E154B" w:rsidRDefault="0008150F" w:rsidP="00CA6847">
      <w:pPr>
        <w:pStyle w:val="Alineazaodstavkom"/>
        <w:numPr>
          <w:ilvl w:val="0"/>
          <w:numId w:val="0"/>
        </w:numPr>
        <w:spacing w:line="240" w:lineRule="atLeast"/>
        <w:rPr>
          <w:sz w:val="20"/>
          <w:szCs w:val="20"/>
        </w:rPr>
      </w:pPr>
    </w:p>
    <w:p w14:paraId="5AFD55FA" w14:textId="77777777" w:rsidR="00CA6847" w:rsidRDefault="00CA6847" w:rsidP="00694DC1">
      <w:pPr>
        <w:pStyle w:val="Alineazaodstavkom"/>
        <w:numPr>
          <w:ilvl w:val="0"/>
          <w:numId w:val="0"/>
        </w:numPr>
        <w:spacing w:line="240" w:lineRule="atLeast"/>
        <w:ind w:left="32" w:right="678"/>
        <w:rPr>
          <w:bCs/>
        </w:rPr>
      </w:pPr>
    </w:p>
    <w:p w14:paraId="12A58BA7" w14:textId="7D4B1ABF" w:rsidR="00E65759" w:rsidRPr="00E65759" w:rsidRDefault="00E65759" w:rsidP="00E65759">
      <w:pPr>
        <w:widowControl w:val="0"/>
        <w:spacing w:line="240" w:lineRule="atLeast"/>
        <w:jc w:val="both"/>
        <w:rPr>
          <w:rFonts w:cs="Arial"/>
          <w:lang w:val="sl-SI" w:eastAsia="sl-SI"/>
        </w:rPr>
      </w:pPr>
      <w:r w:rsidRPr="00E65759">
        <w:rPr>
          <w:b/>
          <w:bCs/>
          <w:szCs w:val="20"/>
          <w:lang w:val="sl-SI"/>
        </w:rPr>
        <w:t>Tabela 2:</w:t>
      </w:r>
      <w:r w:rsidRPr="00E65759">
        <w:rPr>
          <w:szCs w:val="20"/>
          <w:lang w:val="sl-SI"/>
        </w:rPr>
        <w:t xml:space="preserve"> </w:t>
      </w:r>
      <w:r w:rsidRPr="00E65759">
        <w:rPr>
          <w:rFonts w:cs="Arial"/>
          <w:lang w:val="sl-SI" w:eastAsia="sl-SI"/>
        </w:rPr>
        <w:t>Podrobna ocena stroškov za v</w:t>
      </w:r>
      <w:r w:rsidRPr="00E65759">
        <w:rPr>
          <w:lang w:val="sl-SI"/>
        </w:rPr>
        <w:t xml:space="preserve">zpostavitev in delovanje varnega okolja </w:t>
      </w:r>
      <w:r w:rsidRPr="00E65759">
        <w:rPr>
          <w:rFonts w:cs="Arial"/>
          <w:lang w:val="sl-SI" w:eastAsia="sl-SI"/>
        </w:rPr>
        <w:t xml:space="preserve">iz četrtega odstavka 7. člena </w:t>
      </w:r>
      <w:r w:rsidRPr="00E65759">
        <w:rPr>
          <w:lang w:val="sl-SI"/>
        </w:rPr>
        <w:t>Uredbe 2022/868/EU:</w:t>
      </w:r>
    </w:p>
    <w:tbl>
      <w:tblPr>
        <w:tblStyle w:val="Tabelamrea"/>
        <w:tblW w:w="8960" w:type="dxa"/>
        <w:tblLook w:val="04A0" w:firstRow="1" w:lastRow="0" w:firstColumn="1" w:lastColumn="0" w:noHBand="0" w:noVBand="1"/>
      </w:tblPr>
      <w:tblGrid>
        <w:gridCol w:w="3290"/>
        <w:gridCol w:w="1418"/>
        <w:gridCol w:w="1417"/>
        <w:gridCol w:w="1418"/>
        <w:gridCol w:w="1417"/>
      </w:tblGrid>
      <w:tr w:rsidR="006E5D8B" w:rsidRPr="006E5D8B" w14:paraId="622E3125" w14:textId="77777777" w:rsidTr="00E557A0">
        <w:tc>
          <w:tcPr>
            <w:tcW w:w="3290" w:type="dxa"/>
          </w:tcPr>
          <w:p w14:paraId="0456F6A9" w14:textId="77777777" w:rsidR="006E5D8B" w:rsidRPr="006E5D8B" w:rsidRDefault="006E5D8B" w:rsidP="006E5D8B">
            <w:pPr>
              <w:suppressAutoHyphens/>
              <w:overflowPunct w:val="0"/>
              <w:autoSpaceDE w:val="0"/>
              <w:autoSpaceDN w:val="0"/>
              <w:adjustRightInd w:val="0"/>
              <w:spacing w:line="240" w:lineRule="atLeast"/>
              <w:ind w:right="678"/>
              <w:textAlignment w:val="baseline"/>
              <w:outlineLvl w:val="3"/>
              <w:rPr>
                <w:rFonts w:cs="Arial"/>
                <w:b/>
                <w:sz w:val="16"/>
                <w:szCs w:val="16"/>
                <w:lang w:val="sl-SI" w:eastAsia="sl-SI"/>
              </w:rPr>
            </w:pPr>
            <w:r w:rsidRPr="006E5D8B">
              <w:rPr>
                <w:rFonts w:cs="Arial"/>
                <w:b/>
                <w:bCs/>
                <w:sz w:val="16"/>
                <w:szCs w:val="16"/>
                <w:lang w:val="sl-SI" w:eastAsia="sl-SI"/>
              </w:rPr>
              <w:t>Ukrep</w:t>
            </w:r>
          </w:p>
        </w:tc>
        <w:tc>
          <w:tcPr>
            <w:tcW w:w="1418" w:type="dxa"/>
          </w:tcPr>
          <w:p w14:paraId="174167CC" w14:textId="77777777" w:rsidR="006E5D8B" w:rsidRPr="006E5D8B" w:rsidRDefault="006E5D8B" w:rsidP="006E5D8B">
            <w:pPr>
              <w:overflowPunct w:val="0"/>
              <w:autoSpaceDE w:val="0"/>
              <w:autoSpaceDN w:val="0"/>
              <w:adjustRightInd w:val="0"/>
              <w:spacing w:line="240" w:lineRule="atLeast"/>
              <w:jc w:val="right"/>
              <w:textAlignment w:val="baseline"/>
              <w:rPr>
                <w:rFonts w:cs="Arial"/>
                <w:sz w:val="16"/>
                <w:szCs w:val="16"/>
                <w:lang w:val="sl-SI" w:eastAsia="sl-SI"/>
              </w:rPr>
            </w:pPr>
            <w:r w:rsidRPr="006E5D8B">
              <w:rPr>
                <w:rFonts w:cs="Arial"/>
                <w:b/>
                <w:bCs/>
                <w:sz w:val="16"/>
                <w:szCs w:val="16"/>
                <w:lang w:val="sl-SI" w:eastAsia="sl-SI"/>
              </w:rPr>
              <w:t>2024</w:t>
            </w:r>
          </w:p>
        </w:tc>
        <w:tc>
          <w:tcPr>
            <w:tcW w:w="1417" w:type="dxa"/>
          </w:tcPr>
          <w:p w14:paraId="4337ABA4" w14:textId="77777777" w:rsidR="006E5D8B" w:rsidRPr="006E5D8B" w:rsidRDefault="006E5D8B" w:rsidP="006E5D8B">
            <w:pPr>
              <w:overflowPunct w:val="0"/>
              <w:autoSpaceDE w:val="0"/>
              <w:autoSpaceDN w:val="0"/>
              <w:adjustRightInd w:val="0"/>
              <w:spacing w:line="240" w:lineRule="atLeast"/>
              <w:jc w:val="right"/>
              <w:textAlignment w:val="baseline"/>
              <w:rPr>
                <w:rFonts w:cs="Arial"/>
                <w:sz w:val="16"/>
                <w:szCs w:val="16"/>
                <w:lang w:val="sl-SI" w:eastAsia="sl-SI"/>
              </w:rPr>
            </w:pPr>
            <w:r w:rsidRPr="006E5D8B">
              <w:rPr>
                <w:rFonts w:cs="Arial"/>
                <w:b/>
                <w:bCs/>
                <w:sz w:val="16"/>
                <w:szCs w:val="16"/>
                <w:lang w:val="sl-SI" w:eastAsia="sl-SI"/>
              </w:rPr>
              <w:t>2025</w:t>
            </w:r>
          </w:p>
        </w:tc>
        <w:tc>
          <w:tcPr>
            <w:tcW w:w="1418" w:type="dxa"/>
          </w:tcPr>
          <w:p w14:paraId="49C084B3" w14:textId="77777777" w:rsidR="006E5D8B" w:rsidRPr="006E5D8B" w:rsidRDefault="006E5D8B" w:rsidP="006E5D8B">
            <w:pPr>
              <w:overflowPunct w:val="0"/>
              <w:autoSpaceDE w:val="0"/>
              <w:autoSpaceDN w:val="0"/>
              <w:adjustRightInd w:val="0"/>
              <w:spacing w:line="240" w:lineRule="atLeast"/>
              <w:jc w:val="right"/>
              <w:textAlignment w:val="baseline"/>
              <w:rPr>
                <w:rFonts w:cs="Arial"/>
                <w:sz w:val="16"/>
                <w:szCs w:val="16"/>
                <w:lang w:val="sl-SI" w:eastAsia="sl-SI"/>
              </w:rPr>
            </w:pPr>
            <w:r w:rsidRPr="006E5D8B">
              <w:rPr>
                <w:rFonts w:cs="Arial"/>
                <w:b/>
                <w:bCs/>
                <w:sz w:val="16"/>
                <w:szCs w:val="16"/>
                <w:lang w:val="sl-SI" w:eastAsia="sl-SI"/>
              </w:rPr>
              <w:t>2026</w:t>
            </w:r>
          </w:p>
        </w:tc>
        <w:tc>
          <w:tcPr>
            <w:tcW w:w="1417" w:type="dxa"/>
          </w:tcPr>
          <w:p w14:paraId="79AFA3DC" w14:textId="77777777" w:rsidR="006E5D8B" w:rsidRPr="006E5D8B" w:rsidRDefault="006E5D8B" w:rsidP="006E5D8B">
            <w:pPr>
              <w:overflowPunct w:val="0"/>
              <w:autoSpaceDE w:val="0"/>
              <w:autoSpaceDN w:val="0"/>
              <w:adjustRightInd w:val="0"/>
              <w:spacing w:line="240" w:lineRule="atLeast"/>
              <w:jc w:val="right"/>
              <w:textAlignment w:val="baseline"/>
              <w:rPr>
                <w:rFonts w:cs="Arial"/>
                <w:sz w:val="16"/>
                <w:szCs w:val="16"/>
                <w:lang w:val="sl-SI" w:eastAsia="sl-SI"/>
              </w:rPr>
            </w:pPr>
            <w:r w:rsidRPr="006E5D8B">
              <w:rPr>
                <w:rFonts w:cs="Arial"/>
                <w:b/>
                <w:bCs/>
                <w:sz w:val="16"/>
                <w:szCs w:val="16"/>
                <w:lang w:val="sl-SI" w:eastAsia="sl-SI"/>
              </w:rPr>
              <w:t>2027</w:t>
            </w:r>
          </w:p>
        </w:tc>
      </w:tr>
      <w:tr w:rsidR="006E5D8B" w:rsidRPr="006E5D8B" w14:paraId="3E82D63F" w14:textId="77777777" w:rsidTr="00E557A0">
        <w:tc>
          <w:tcPr>
            <w:tcW w:w="3290" w:type="dxa"/>
          </w:tcPr>
          <w:p w14:paraId="21204CF5" w14:textId="77777777" w:rsidR="006E5D8B" w:rsidRPr="006E5D8B" w:rsidRDefault="006E5D8B" w:rsidP="006E5D8B">
            <w:pPr>
              <w:suppressAutoHyphens/>
              <w:overflowPunct w:val="0"/>
              <w:autoSpaceDE w:val="0"/>
              <w:autoSpaceDN w:val="0"/>
              <w:adjustRightInd w:val="0"/>
              <w:spacing w:line="240" w:lineRule="atLeast"/>
              <w:ind w:right="34"/>
              <w:textAlignment w:val="baseline"/>
              <w:outlineLvl w:val="3"/>
              <w:rPr>
                <w:rFonts w:cs="Arial"/>
                <w:b/>
                <w:sz w:val="16"/>
                <w:szCs w:val="16"/>
                <w:highlight w:val="yellow"/>
                <w:lang w:val="sl-SI" w:eastAsia="sl-SI"/>
              </w:rPr>
            </w:pPr>
            <w:r w:rsidRPr="006E5D8B">
              <w:rPr>
                <w:rFonts w:cs="Arial"/>
                <w:sz w:val="16"/>
                <w:szCs w:val="16"/>
                <w:lang w:val="sl-SI" w:eastAsia="sl-SI"/>
              </w:rPr>
              <w:t xml:space="preserve">Vzpostavitev in vzdrževanje </w:t>
            </w:r>
            <w:r w:rsidRPr="006E5D8B">
              <w:rPr>
                <w:rFonts w:cs="Arial"/>
                <w:bCs/>
                <w:sz w:val="16"/>
                <w:szCs w:val="16"/>
                <w:lang w:val="sl-SI" w:eastAsia="sl-SI"/>
              </w:rPr>
              <w:t xml:space="preserve">varnega okolja za ponovno uporabo zaščitenih podatkov </w:t>
            </w:r>
          </w:p>
        </w:tc>
        <w:tc>
          <w:tcPr>
            <w:tcW w:w="1418" w:type="dxa"/>
            <w:vAlign w:val="center"/>
          </w:tcPr>
          <w:p w14:paraId="6F3517C9" w14:textId="77777777" w:rsidR="006E5D8B" w:rsidRPr="006E5D8B" w:rsidRDefault="006E5D8B" w:rsidP="006E5D8B">
            <w:pPr>
              <w:overflowPunct w:val="0"/>
              <w:autoSpaceDE w:val="0"/>
              <w:autoSpaceDN w:val="0"/>
              <w:adjustRightInd w:val="0"/>
              <w:spacing w:line="240" w:lineRule="atLeast"/>
              <w:jc w:val="right"/>
              <w:textAlignment w:val="baseline"/>
              <w:rPr>
                <w:rFonts w:cs="Arial"/>
                <w:sz w:val="16"/>
                <w:szCs w:val="16"/>
                <w:highlight w:val="yellow"/>
                <w:lang w:val="sl-SI" w:eastAsia="sl-SI"/>
              </w:rPr>
            </w:pPr>
            <w:r w:rsidRPr="006E5D8B">
              <w:rPr>
                <w:rFonts w:cs="Arial"/>
                <w:sz w:val="16"/>
                <w:szCs w:val="16"/>
                <w:lang w:val="sl-SI" w:eastAsia="sl-SI"/>
              </w:rPr>
              <w:t>0 EUR</w:t>
            </w:r>
          </w:p>
        </w:tc>
        <w:tc>
          <w:tcPr>
            <w:tcW w:w="1417" w:type="dxa"/>
            <w:vAlign w:val="center"/>
          </w:tcPr>
          <w:p w14:paraId="62DE707B" w14:textId="77777777" w:rsidR="006E5D8B" w:rsidRPr="006E5D8B" w:rsidRDefault="006E5D8B" w:rsidP="006E5D8B">
            <w:pPr>
              <w:overflowPunct w:val="0"/>
              <w:autoSpaceDE w:val="0"/>
              <w:autoSpaceDN w:val="0"/>
              <w:adjustRightInd w:val="0"/>
              <w:spacing w:line="240" w:lineRule="atLeast"/>
              <w:jc w:val="right"/>
              <w:textAlignment w:val="baseline"/>
              <w:rPr>
                <w:rFonts w:cs="Arial"/>
                <w:sz w:val="16"/>
                <w:szCs w:val="16"/>
                <w:highlight w:val="yellow"/>
                <w:lang w:val="sl-SI" w:eastAsia="sl-SI"/>
              </w:rPr>
            </w:pPr>
            <w:r w:rsidRPr="006E5D8B">
              <w:rPr>
                <w:rFonts w:cs="Arial"/>
                <w:sz w:val="16"/>
                <w:szCs w:val="16"/>
                <w:lang w:val="sl-SI" w:eastAsia="sl-SI"/>
              </w:rPr>
              <w:t>48.740 EUR</w:t>
            </w:r>
          </w:p>
        </w:tc>
        <w:tc>
          <w:tcPr>
            <w:tcW w:w="1418" w:type="dxa"/>
            <w:vAlign w:val="center"/>
          </w:tcPr>
          <w:p w14:paraId="0A8DFF45" w14:textId="77777777" w:rsidR="006E5D8B" w:rsidRPr="006E5D8B" w:rsidRDefault="006E5D8B" w:rsidP="006E5D8B">
            <w:pPr>
              <w:overflowPunct w:val="0"/>
              <w:autoSpaceDE w:val="0"/>
              <w:autoSpaceDN w:val="0"/>
              <w:adjustRightInd w:val="0"/>
              <w:spacing w:line="240" w:lineRule="atLeast"/>
              <w:jc w:val="right"/>
              <w:textAlignment w:val="baseline"/>
              <w:rPr>
                <w:rFonts w:cs="Arial"/>
                <w:sz w:val="16"/>
                <w:szCs w:val="16"/>
                <w:highlight w:val="yellow"/>
                <w:lang w:val="sl-SI" w:eastAsia="sl-SI"/>
              </w:rPr>
            </w:pPr>
            <w:r w:rsidRPr="006E5D8B">
              <w:rPr>
                <w:rFonts w:cs="Arial"/>
                <w:sz w:val="16"/>
                <w:szCs w:val="16"/>
                <w:lang w:val="sl-SI" w:eastAsia="sl-SI"/>
              </w:rPr>
              <w:t>22.575 EUR</w:t>
            </w:r>
          </w:p>
        </w:tc>
        <w:tc>
          <w:tcPr>
            <w:tcW w:w="1417" w:type="dxa"/>
            <w:vAlign w:val="center"/>
          </w:tcPr>
          <w:p w14:paraId="0486B2B7" w14:textId="77777777" w:rsidR="006E5D8B" w:rsidRPr="006E5D8B" w:rsidRDefault="006E5D8B" w:rsidP="006E5D8B">
            <w:pPr>
              <w:overflowPunct w:val="0"/>
              <w:autoSpaceDE w:val="0"/>
              <w:autoSpaceDN w:val="0"/>
              <w:adjustRightInd w:val="0"/>
              <w:spacing w:line="240" w:lineRule="atLeast"/>
              <w:jc w:val="right"/>
              <w:textAlignment w:val="baseline"/>
              <w:rPr>
                <w:rFonts w:cs="Arial"/>
                <w:sz w:val="16"/>
                <w:szCs w:val="16"/>
                <w:highlight w:val="yellow"/>
                <w:lang w:val="sl-SI" w:eastAsia="sl-SI"/>
              </w:rPr>
            </w:pPr>
            <w:r w:rsidRPr="006E5D8B">
              <w:rPr>
                <w:rFonts w:cs="Arial"/>
                <w:sz w:val="16"/>
                <w:szCs w:val="16"/>
                <w:lang w:val="sl-SI" w:eastAsia="sl-SI"/>
              </w:rPr>
              <w:t>22.575 EUR</w:t>
            </w:r>
          </w:p>
        </w:tc>
      </w:tr>
      <w:tr w:rsidR="006E5D8B" w:rsidRPr="006E5D8B" w14:paraId="190AFACC" w14:textId="77777777" w:rsidTr="00E557A0">
        <w:tc>
          <w:tcPr>
            <w:tcW w:w="3290" w:type="dxa"/>
          </w:tcPr>
          <w:p w14:paraId="3C61F878" w14:textId="77777777" w:rsidR="006E5D8B" w:rsidRPr="006E5D8B" w:rsidRDefault="006E5D8B" w:rsidP="006E5D8B">
            <w:pPr>
              <w:suppressAutoHyphens/>
              <w:overflowPunct w:val="0"/>
              <w:autoSpaceDE w:val="0"/>
              <w:autoSpaceDN w:val="0"/>
              <w:adjustRightInd w:val="0"/>
              <w:spacing w:line="240" w:lineRule="atLeast"/>
              <w:ind w:right="678"/>
              <w:textAlignment w:val="baseline"/>
              <w:outlineLvl w:val="3"/>
              <w:rPr>
                <w:rFonts w:cs="Arial"/>
                <w:bCs/>
                <w:sz w:val="16"/>
                <w:szCs w:val="16"/>
                <w:lang w:val="sl-SI" w:eastAsia="sl-SI"/>
              </w:rPr>
            </w:pPr>
            <w:r w:rsidRPr="006E5D8B">
              <w:rPr>
                <w:rFonts w:cs="Arial"/>
                <w:bCs/>
                <w:sz w:val="16"/>
                <w:szCs w:val="16"/>
                <w:lang w:val="sl-SI" w:eastAsia="sl-SI"/>
              </w:rPr>
              <w:t>Nakup licenc:</w:t>
            </w:r>
          </w:p>
          <w:p w14:paraId="1585D54F" w14:textId="77777777" w:rsidR="006E5D8B" w:rsidRPr="006E5D8B" w:rsidRDefault="006E5D8B" w:rsidP="006E5D8B">
            <w:pPr>
              <w:numPr>
                <w:ilvl w:val="0"/>
                <w:numId w:val="29"/>
              </w:numPr>
              <w:suppressAutoHyphens/>
              <w:overflowPunct w:val="0"/>
              <w:autoSpaceDE w:val="0"/>
              <w:autoSpaceDN w:val="0"/>
              <w:adjustRightInd w:val="0"/>
              <w:spacing w:line="240" w:lineRule="atLeast"/>
              <w:ind w:left="341" w:hanging="284"/>
              <w:textAlignment w:val="baseline"/>
              <w:outlineLvl w:val="3"/>
              <w:rPr>
                <w:rFonts w:cs="Arial"/>
                <w:bCs/>
                <w:sz w:val="16"/>
                <w:szCs w:val="16"/>
                <w:lang w:val="sl-SI" w:eastAsia="sl-SI"/>
              </w:rPr>
            </w:pPr>
            <w:r w:rsidRPr="006E5D8B">
              <w:rPr>
                <w:rFonts w:cs="Arial"/>
                <w:bCs/>
                <w:sz w:val="16"/>
                <w:szCs w:val="16"/>
                <w:lang w:val="sl-SI" w:eastAsia="sl-SI"/>
              </w:rPr>
              <w:t>8x Windows Server 2022 Standard - 16 Core License Pack (8.419,84 EUR)</w:t>
            </w:r>
          </w:p>
          <w:p w14:paraId="4A54F6A4" w14:textId="77777777" w:rsidR="006E5D8B" w:rsidRPr="006E5D8B" w:rsidRDefault="006E5D8B" w:rsidP="006E5D8B">
            <w:pPr>
              <w:numPr>
                <w:ilvl w:val="0"/>
                <w:numId w:val="29"/>
              </w:numPr>
              <w:suppressAutoHyphens/>
              <w:overflowPunct w:val="0"/>
              <w:autoSpaceDE w:val="0"/>
              <w:autoSpaceDN w:val="0"/>
              <w:adjustRightInd w:val="0"/>
              <w:spacing w:line="240" w:lineRule="atLeast"/>
              <w:ind w:left="341" w:hanging="284"/>
              <w:textAlignment w:val="baseline"/>
              <w:outlineLvl w:val="3"/>
              <w:rPr>
                <w:rFonts w:cs="Arial"/>
                <w:bCs/>
                <w:sz w:val="16"/>
                <w:szCs w:val="16"/>
                <w:lang w:val="sl-SI" w:eastAsia="sl-SI"/>
              </w:rPr>
            </w:pPr>
            <w:r w:rsidRPr="006E5D8B">
              <w:rPr>
                <w:rFonts w:cs="Arial"/>
                <w:bCs/>
                <w:sz w:val="16"/>
                <w:szCs w:val="16"/>
                <w:lang w:val="sl-SI" w:eastAsia="sl-SI"/>
              </w:rPr>
              <w:t>200x Windows Server 2022 - 1 User CAL (9.016,00 EUR)</w:t>
            </w:r>
          </w:p>
          <w:p w14:paraId="3886BB3C" w14:textId="77777777" w:rsidR="006E5D8B" w:rsidRPr="006E5D8B" w:rsidRDefault="006E5D8B" w:rsidP="006E5D8B">
            <w:pPr>
              <w:numPr>
                <w:ilvl w:val="0"/>
                <w:numId w:val="29"/>
              </w:numPr>
              <w:suppressAutoHyphens/>
              <w:overflowPunct w:val="0"/>
              <w:autoSpaceDE w:val="0"/>
              <w:autoSpaceDN w:val="0"/>
              <w:adjustRightInd w:val="0"/>
              <w:spacing w:line="240" w:lineRule="atLeast"/>
              <w:ind w:left="341" w:hanging="284"/>
              <w:textAlignment w:val="baseline"/>
              <w:outlineLvl w:val="3"/>
              <w:rPr>
                <w:rFonts w:cs="Arial"/>
                <w:bCs/>
                <w:sz w:val="16"/>
                <w:szCs w:val="16"/>
                <w:lang w:val="sl-SI" w:eastAsia="sl-SI"/>
              </w:rPr>
            </w:pPr>
            <w:r w:rsidRPr="006E5D8B">
              <w:rPr>
                <w:rFonts w:cs="Arial"/>
                <w:bCs/>
                <w:sz w:val="16"/>
                <w:szCs w:val="16"/>
                <w:lang w:val="sl-SI" w:eastAsia="sl-SI"/>
              </w:rPr>
              <w:t>200x Windows Server 2022 Remote Desktop Services - 1 User CAL (28.520,00 EUR)</w:t>
            </w:r>
          </w:p>
          <w:p w14:paraId="23C9B57B" w14:textId="77777777" w:rsidR="006E5D8B" w:rsidRPr="006E5D8B" w:rsidRDefault="006E5D8B" w:rsidP="006E5D8B">
            <w:pPr>
              <w:numPr>
                <w:ilvl w:val="0"/>
                <w:numId w:val="29"/>
              </w:numPr>
              <w:suppressAutoHyphens/>
              <w:overflowPunct w:val="0"/>
              <w:autoSpaceDE w:val="0"/>
              <w:autoSpaceDN w:val="0"/>
              <w:adjustRightInd w:val="0"/>
              <w:spacing w:line="240" w:lineRule="atLeast"/>
              <w:ind w:left="341" w:hanging="284"/>
              <w:textAlignment w:val="baseline"/>
              <w:outlineLvl w:val="3"/>
              <w:rPr>
                <w:rFonts w:cs="Arial"/>
                <w:bCs/>
                <w:sz w:val="16"/>
                <w:szCs w:val="16"/>
                <w:lang w:val="sl-SI" w:eastAsia="sl-SI"/>
              </w:rPr>
            </w:pPr>
            <w:r w:rsidRPr="006E5D8B">
              <w:rPr>
                <w:rFonts w:cs="Arial"/>
                <w:bCs/>
                <w:sz w:val="16"/>
                <w:szCs w:val="16"/>
                <w:lang w:val="sl-SI" w:eastAsia="sl-SI"/>
              </w:rPr>
              <w:t>20x MS OVL-NL WINDOWS ENT SNGL UpgrdSAPk 3Y-Y1 AP (8.057,80 EUR)</w:t>
            </w:r>
          </w:p>
          <w:p w14:paraId="0C43EA81" w14:textId="77777777" w:rsidR="006E5D8B" w:rsidRPr="006E5D8B" w:rsidRDefault="006E5D8B" w:rsidP="006E5D8B">
            <w:pPr>
              <w:numPr>
                <w:ilvl w:val="0"/>
                <w:numId w:val="29"/>
              </w:numPr>
              <w:suppressAutoHyphens/>
              <w:overflowPunct w:val="0"/>
              <w:autoSpaceDE w:val="0"/>
              <w:autoSpaceDN w:val="0"/>
              <w:adjustRightInd w:val="0"/>
              <w:spacing w:line="240" w:lineRule="atLeast"/>
              <w:ind w:left="341" w:hanging="284"/>
              <w:textAlignment w:val="baseline"/>
              <w:outlineLvl w:val="3"/>
              <w:rPr>
                <w:rFonts w:cs="Arial"/>
                <w:b/>
                <w:sz w:val="16"/>
                <w:szCs w:val="16"/>
                <w:lang w:val="sl-SI" w:eastAsia="sl-SI"/>
              </w:rPr>
            </w:pPr>
            <w:r w:rsidRPr="006E5D8B">
              <w:rPr>
                <w:rFonts w:cs="Arial"/>
                <w:bCs/>
                <w:sz w:val="16"/>
                <w:szCs w:val="16"/>
                <w:lang w:val="sl-SI" w:eastAsia="sl-SI"/>
              </w:rPr>
              <w:t>200x Office LTSC Standard 2021 (88.688,00 EUR)</w:t>
            </w:r>
          </w:p>
        </w:tc>
        <w:tc>
          <w:tcPr>
            <w:tcW w:w="1418" w:type="dxa"/>
            <w:vAlign w:val="center"/>
          </w:tcPr>
          <w:p w14:paraId="248820E5" w14:textId="77777777" w:rsidR="006E5D8B" w:rsidRPr="006E5D8B" w:rsidRDefault="006E5D8B" w:rsidP="006E5D8B">
            <w:pPr>
              <w:overflowPunct w:val="0"/>
              <w:autoSpaceDE w:val="0"/>
              <w:autoSpaceDN w:val="0"/>
              <w:adjustRightInd w:val="0"/>
              <w:spacing w:line="240" w:lineRule="atLeast"/>
              <w:jc w:val="right"/>
              <w:textAlignment w:val="baseline"/>
              <w:rPr>
                <w:rFonts w:cs="Arial"/>
                <w:sz w:val="16"/>
                <w:szCs w:val="16"/>
                <w:highlight w:val="yellow"/>
                <w:lang w:val="sl-SI" w:eastAsia="sl-SI"/>
              </w:rPr>
            </w:pPr>
            <w:r w:rsidRPr="006E5D8B">
              <w:rPr>
                <w:rFonts w:cs="Arial"/>
                <w:sz w:val="16"/>
                <w:szCs w:val="16"/>
                <w:lang w:val="sl-SI" w:eastAsia="sl-SI"/>
              </w:rPr>
              <w:t>0 EUR</w:t>
            </w:r>
          </w:p>
        </w:tc>
        <w:tc>
          <w:tcPr>
            <w:tcW w:w="1417" w:type="dxa"/>
            <w:vAlign w:val="center"/>
          </w:tcPr>
          <w:p w14:paraId="1562B65A" w14:textId="77777777" w:rsidR="006E5D8B" w:rsidRPr="006E5D8B" w:rsidRDefault="006E5D8B" w:rsidP="006E5D8B">
            <w:pPr>
              <w:overflowPunct w:val="0"/>
              <w:autoSpaceDE w:val="0"/>
              <w:autoSpaceDN w:val="0"/>
              <w:adjustRightInd w:val="0"/>
              <w:spacing w:line="240" w:lineRule="atLeast"/>
              <w:jc w:val="right"/>
              <w:textAlignment w:val="baseline"/>
              <w:rPr>
                <w:rFonts w:cs="Arial"/>
                <w:sz w:val="16"/>
                <w:szCs w:val="16"/>
                <w:highlight w:val="yellow"/>
                <w:lang w:val="sl-SI" w:eastAsia="sl-SI"/>
              </w:rPr>
            </w:pPr>
            <w:r w:rsidRPr="006E5D8B">
              <w:rPr>
                <w:rFonts w:cs="Arial"/>
                <w:sz w:val="16"/>
                <w:szCs w:val="16"/>
                <w:lang w:val="sl-SI" w:eastAsia="sl-SI"/>
              </w:rPr>
              <w:t>174.096 EUR</w:t>
            </w:r>
          </w:p>
        </w:tc>
        <w:tc>
          <w:tcPr>
            <w:tcW w:w="1418" w:type="dxa"/>
            <w:vAlign w:val="center"/>
          </w:tcPr>
          <w:p w14:paraId="06FA6747" w14:textId="77777777" w:rsidR="006E5D8B" w:rsidRPr="006E5D8B" w:rsidRDefault="006E5D8B" w:rsidP="006E5D8B">
            <w:pPr>
              <w:overflowPunct w:val="0"/>
              <w:autoSpaceDE w:val="0"/>
              <w:autoSpaceDN w:val="0"/>
              <w:adjustRightInd w:val="0"/>
              <w:spacing w:line="240" w:lineRule="atLeast"/>
              <w:jc w:val="right"/>
              <w:textAlignment w:val="baseline"/>
              <w:rPr>
                <w:rFonts w:cs="Arial"/>
                <w:sz w:val="16"/>
                <w:szCs w:val="16"/>
                <w:highlight w:val="yellow"/>
                <w:lang w:val="sl-SI" w:eastAsia="sl-SI"/>
              </w:rPr>
            </w:pPr>
            <w:r w:rsidRPr="006E5D8B">
              <w:rPr>
                <w:rFonts w:cs="Arial"/>
                <w:sz w:val="16"/>
                <w:szCs w:val="16"/>
                <w:lang w:val="sl-SI" w:eastAsia="sl-SI"/>
              </w:rPr>
              <w:t>0 EUR</w:t>
            </w:r>
          </w:p>
        </w:tc>
        <w:tc>
          <w:tcPr>
            <w:tcW w:w="1417" w:type="dxa"/>
            <w:vAlign w:val="center"/>
          </w:tcPr>
          <w:p w14:paraId="4F58B455" w14:textId="77777777" w:rsidR="006E5D8B" w:rsidRPr="006E5D8B" w:rsidRDefault="006E5D8B" w:rsidP="006E5D8B">
            <w:pPr>
              <w:overflowPunct w:val="0"/>
              <w:autoSpaceDE w:val="0"/>
              <w:autoSpaceDN w:val="0"/>
              <w:adjustRightInd w:val="0"/>
              <w:spacing w:line="240" w:lineRule="atLeast"/>
              <w:jc w:val="right"/>
              <w:textAlignment w:val="baseline"/>
              <w:rPr>
                <w:rFonts w:cs="Arial"/>
                <w:sz w:val="16"/>
                <w:szCs w:val="16"/>
                <w:highlight w:val="yellow"/>
                <w:lang w:val="sl-SI" w:eastAsia="sl-SI"/>
              </w:rPr>
            </w:pPr>
            <w:r w:rsidRPr="006E5D8B">
              <w:rPr>
                <w:rFonts w:cs="Arial"/>
                <w:sz w:val="16"/>
                <w:szCs w:val="16"/>
                <w:lang w:val="sl-SI" w:eastAsia="sl-SI"/>
              </w:rPr>
              <w:t>0 EUR</w:t>
            </w:r>
          </w:p>
        </w:tc>
      </w:tr>
      <w:tr w:rsidR="006E5D8B" w:rsidRPr="006E5D8B" w14:paraId="6A48134B" w14:textId="77777777" w:rsidTr="00E557A0">
        <w:tc>
          <w:tcPr>
            <w:tcW w:w="3290" w:type="dxa"/>
          </w:tcPr>
          <w:p w14:paraId="55441663" w14:textId="77777777" w:rsidR="006E5D8B" w:rsidRPr="006E5D8B" w:rsidRDefault="006E5D8B" w:rsidP="006E5D8B">
            <w:pPr>
              <w:suppressAutoHyphens/>
              <w:overflowPunct w:val="0"/>
              <w:autoSpaceDE w:val="0"/>
              <w:autoSpaceDN w:val="0"/>
              <w:adjustRightInd w:val="0"/>
              <w:spacing w:line="240" w:lineRule="atLeast"/>
              <w:ind w:right="678"/>
              <w:textAlignment w:val="baseline"/>
              <w:outlineLvl w:val="3"/>
              <w:rPr>
                <w:rFonts w:cs="Arial"/>
                <w:bCs/>
                <w:sz w:val="16"/>
                <w:szCs w:val="16"/>
                <w:lang w:val="sl-SI" w:eastAsia="sl-SI"/>
              </w:rPr>
            </w:pPr>
            <w:r w:rsidRPr="006E5D8B">
              <w:rPr>
                <w:rFonts w:cs="Arial"/>
                <w:bCs/>
                <w:sz w:val="16"/>
                <w:szCs w:val="16"/>
                <w:lang w:val="sl-SI" w:eastAsia="sl-SI"/>
              </w:rPr>
              <w:t>Strošek zaposlitev:</w:t>
            </w:r>
          </w:p>
          <w:p w14:paraId="301BA93C" w14:textId="77777777" w:rsidR="006E5D8B" w:rsidRPr="006E5D8B" w:rsidRDefault="006E5D8B" w:rsidP="006E5D8B">
            <w:pPr>
              <w:suppressAutoHyphens/>
              <w:overflowPunct w:val="0"/>
              <w:autoSpaceDE w:val="0"/>
              <w:autoSpaceDN w:val="0"/>
              <w:adjustRightInd w:val="0"/>
              <w:spacing w:line="240" w:lineRule="atLeast"/>
              <w:textAlignment w:val="baseline"/>
              <w:outlineLvl w:val="3"/>
              <w:rPr>
                <w:rFonts w:cs="Arial"/>
                <w:bCs/>
                <w:sz w:val="16"/>
                <w:szCs w:val="16"/>
                <w:lang w:val="sl-SI" w:eastAsia="sl-SI"/>
              </w:rPr>
            </w:pPr>
            <w:r w:rsidRPr="006E5D8B">
              <w:rPr>
                <w:rFonts w:cs="Arial"/>
                <w:bCs/>
                <w:sz w:val="16"/>
                <w:szCs w:val="16"/>
                <w:lang w:val="sl-SI" w:eastAsia="sl-SI"/>
              </w:rPr>
              <w:t>1x Sekretar (PR 46-56)</w:t>
            </w:r>
          </w:p>
        </w:tc>
        <w:tc>
          <w:tcPr>
            <w:tcW w:w="1418" w:type="dxa"/>
            <w:vAlign w:val="center"/>
          </w:tcPr>
          <w:p w14:paraId="30383166" w14:textId="77777777" w:rsidR="006E5D8B" w:rsidRPr="006E5D8B" w:rsidRDefault="006E5D8B" w:rsidP="006E5D8B">
            <w:pPr>
              <w:overflowPunct w:val="0"/>
              <w:autoSpaceDE w:val="0"/>
              <w:autoSpaceDN w:val="0"/>
              <w:adjustRightInd w:val="0"/>
              <w:spacing w:line="240" w:lineRule="atLeast"/>
              <w:jc w:val="right"/>
              <w:textAlignment w:val="baseline"/>
              <w:rPr>
                <w:rFonts w:cs="Arial"/>
                <w:sz w:val="16"/>
                <w:szCs w:val="16"/>
                <w:highlight w:val="yellow"/>
                <w:lang w:val="sl-SI" w:eastAsia="sl-SI"/>
              </w:rPr>
            </w:pPr>
            <w:r w:rsidRPr="006E5D8B">
              <w:rPr>
                <w:rFonts w:cs="Arial"/>
                <w:sz w:val="16"/>
                <w:szCs w:val="16"/>
                <w:lang w:val="sl-SI" w:eastAsia="sl-SI"/>
              </w:rPr>
              <w:t>0 EUR</w:t>
            </w:r>
          </w:p>
        </w:tc>
        <w:tc>
          <w:tcPr>
            <w:tcW w:w="1417" w:type="dxa"/>
            <w:vAlign w:val="center"/>
          </w:tcPr>
          <w:p w14:paraId="76CBDE48" w14:textId="77777777" w:rsidR="006E5D8B" w:rsidRPr="006E5D8B" w:rsidRDefault="006E5D8B" w:rsidP="006E5D8B">
            <w:pPr>
              <w:overflowPunct w:val="0"/>
              <w:autoSpaceDE w:val="0"/>
              <w:autoSpaceDN w:val="0"/>
              <w:adjustRightInd w:val="0"/>
              <w:spacing w:line="240" w:lineRule="atLeast"/>
              <w:jc w:val="right"/>
              <w:textAlignment w:val="baseline"/>
              <w:rPr>
                <w:rFonts w:cs="Arial"/>
                <w:sz w:val="16"/>
                <w:szCs w:val="16"/>
                <w:highlight w:val="yellow"/>
                <w:lang w:val="sl-SI" w:eastAsia="sl-SI"/>
              </w:rPr>
            </w:pPr>
            <w:r w:rsidRPr="006E5D8B">
              <w:rPr>
                <w:rFonts w:cs="Arial"/>
                <w:sz w:val="16"/>
                <w:szCs w:val="16"/>
                <w:lang w:val="sl-SI" w:eastAsia="sl-SI"/>
              </w:rPr>
              <w:t>38.711 EUR</w:t>
            </w:r>
          </w:p>
        </w:tc>
        <w:tc>
          <w:tcPr>
            <w:tcW w:w="1418" w:type="dxa"/>
            <w:vAlign w:val="center"/>
          </w:tcPr>
          <w:p w14:paraId="061B7442" w14:textId="77777777" w:rsidR="006E5D8B" w:rsidRPr="006E5D8B" w:rsidRDefault="006E5D8B" w:rsidP="006E5D8B">
            <w:pPr>
              <w:overflowPunct w:val="0"/>
              <w:autoSpaceDE w:val="0"/>
              <w:autoSpaceDN w:val="0"/>
              <w:adjustRightInd w:val="0"/>
              <w:spacing w:line="240" w:lineRule="atLeast"/>
              <w:jc w:val="right"/>
              <w:textAlignment w:val="baseline"/>
              <w:rPr>
                <w:rFonts w:cs="Arial"/>
                <w:sz w:val="16"/>
                <w:szCs w:val="16"/>
                <w:highlight w:val="yellow"/>
                <w:lang w:val="sl-SI" w:eastAsia="sl-SI"/>
              </w:rPr>
            </w:pPr>
            <w:r w:rsidRPr="006E5D8B">
              <w:rPr>
                <w:rFonts w:cs="Arial"/>
                <w:sz w:val="16"/>
                <w:szCs w:val="16"/>
                <w:lang w:val="sl-SI" w:eastAsia="sl-SI"/>
              </w:rPr>
              <w:t>46.454 EUR</w:t>
            </w:r>
          </w:p>
        </w:tc>
        <w:tc>
          <w:tcPr>
            <w:tcW w:w="1417" w:type="dxa"/>
            <w:vAlign w:val="center"/>
          </w:tcPr>
          <w:p w14:paraId="6647C471" w14:textId="77777777" w:rsidR="006E5D8B" w:rsidRPr="006E5D8B" w:rsidRDefault="006E5D8B" w:rsidP="006E5D8B">
            <w:pPr>
              <w:overflowPunct w:val="0"/>
              <w:autoSpaceDE w:val="0"/>
              <w:autoSpaceDN w:val="0"/>
              <w:adjustRightInd w:val="0"/>
              <w:spacing w:line="240" w:lineRule="atLeast"/>
              <w:jc w:val="right"/>
              <w:textAlignment w:val="baseline"/>
              <w:rPr>
                <w:rFonts w:cs="Arial"/>
                <w:sz w:val="16"/>
                <w:szCs w:val="16"/>
                <w:highlight w:val="yellow"/>
                <w:lang w:val="sl-SI" w:eastAsia="sl-SI"/>
              </w:rPr>
            </w:pPr>
            <w:r w:rsidRPr="006E5D8B">
              <w:rPr>
                <w:rFonts w:cs="Arial"/>
                <w:sz w:val="16"/>
                <w:szCs w:val="16"/>
                <w:lang w:val="sl-SI" w:eastAsia="sl-SI"/>
              </w:rPr>
              <w:t>46.454 EUR</w:t>
            </w:r>
          </w:p>
        </w:tc>
      </w:tr>
      <w:tr w:rsidR="006E5D8B" w:rsidRPr="006E5D8B" w14:paraId="5E0468B1" w14:textId="77777777" w:rsidTr="00E557A0">
        <w:tc>
          <w:tcPr>
            <w:tcW w:w="3290" w:type="dxa"/>
          </w:tcPr>
          <w:p w14:paraId="6A1901D4" w14:textId="77777777" w:rsidR="006E5D8B" w:rsidRPr="006E5D8B" w:rsidRDefault="006E5D8B" w:rsidP="006E5D8B">
            <w:pPr>
              <w:suppressAutoHyphens/>
              <w:overflowPunct w:val="0"/>
              <w:autoSpaceDE w:val="0"/>
              <w:autoSpaceDN w:val="0"/>
              <w:adjustRightInd w:val="0"/>
              <w:spacing w:line="240" w:lineRule="atLeast"/>
              <w:ind w:right="678"/>
              <w:textAlignment w:val="baseline"/>
              <w:outlineLvl w:val="3"/>
              <w:rPr>
                <w:rFonts w:cs="Arial"/>
                <w:b/>
                <w:sz w:val="16"/>
                <w:szCs w:val="16"/>
                <w:highlight w:val="yellow"/>
                <w:lang w:val="sl-SI" w:eastAsia="sl-SI"/>
              </w:rPr>
            </w:pPr>
            <w:r w:rsidRPr="006E5D8B">
              <w:rPr>
                <w:rFonts w:cs="Arial"/>
                <w:b/>
                <w:bCs/>
                <w:sz w:val="16"/>
                <w:szCs w:val="16"/>
                <w:lang w:val="sl-SI" w:eastAsia="sl-SI"/>
              </w:rPr>
              <w:t>SKUPAJ</w:t>
            </w:r>
          </w:p>
        </w:tc>
        <w:tc>
          <w:tcPr>
            <w:tcW w:w="1418" w:type="dxa"/>
          </w:tcPr>
          <w:p w14:paraId="5C681D32" w14:textId="77777777" w:rsidR="006E5D8B" w:rsidRPr="006E5D8B" w:rsidRDefault="006E5D8B" w:rsidP="006E5D8B">
            <w:pPr>
              <w:overflowPunct w:val="0"/>
              <w:autoSpaceDE w:val="0"/>
              <w:autoSpaceDN w:val="0"/>
              <w:adjustRightInd w:val="0"/>
              <w:spacing w:line="240" w:lineRule="atLeast"/>
              <w:jc w:val="right"/>
              <w:textAlignment w:val="baseline"/>
              <w:rPr>
                <w:rFonts w:cs="Arial"/>
                <w:b/>
                <w:bCs/>
                <w:sz w:val="16"/>
                <w:szCs w:val="16"/>
                <w:highlight w:val="yellow"/>
                <w:lang w:val="sl-SI" w:eastAsia="sl-SI"/>
              </w:rPr>
            </w:pPr>
            <w:r w:rsidRPr="006E5D8B">
              <w:rPr>
                <w:rFonts w:cs="Arial"/>
                <w:b/>
                <w:bCs/>
                <w:sz w:val="16"/>
                <w:szCs w:val="16"/>
                <w:lang w:val="sl-SI" w:eastAsia="sl-SI"/>
              </w:rPr>
              <w:t>0 EUR</w:t>
            </w:r>
          </w:p>
        </w:tc>
        <w:tc>
          <w:tcPr>
            <w:tcW w:w="1417" w:type="dxa"/>
          </w:tcPr>
          <w:p w14:paraId="2134F8AF" w14:textId="77777777" w:rsidR="006E5D8B" w:rsidRPr="006E5D8B" w:rsidRDefault="006E5D8B" w:rsidP="006E5D8B">
            <w:pPr>
              <w:overflowPunct w:val="0"/>
              <w:autoSpaceDE w:val="0"/>
              <w:autoSpaceDN w:val="0"/>
              <w:adjustRightInd w:val="0"/>
              <w:spacing w:line="240" w:lineRule="atLeast"/>
              <w:jc w:val="right"/>
              <w:textAlignment w:val="baseline"/>
              <w:rPr>
                <w:rFonts w:cs="Arial"/>
                <w:b/>
                <w:bCs/>
                <w:sz w:val="16"/>
                <w:szCs w:val="16"/>
                <w:highlight w:val="yellow"/>
                <w:lang w:val="sl-SI" w:eastAsia="sl-SI"/>
              </w:rPr>
            </w:pPr>
            <w:r w:rsidRPr="006E5D8B">
              <w:rPr>
                <w:rFonts w:cs="Arial"/>
                <w:b/>
                <w:bCs/>
                <w:sz w:val="16"/>
                <w:szCs w:val="16"/>
                <w:lang w:val="sl-SI" w:eastAsia="sl-SI"/>
              </w:rPr>
              <w:t>261.547 EUR</w:t>
            </w:r>
          </w:p>
        </w:tc>
        <w:tc>
          <w:tcPr>
            <w:tcW w:w="1418" w:type="dxa"/>
          </w:tcPr>
          <w:p w14:paraId="08350C2C" w14:textId="77777777" w:rsidR="006E5D8B" w:rsidRPr="006E5D8B" w:rsidRDefault="006E5D8B" w:rsidP="006E5D8B">
            <w:pPr>
              <w:overflowPunct w:val="0"/>
              <w:autoSpaceDE w:val="0"/>
              <w:autoSpaceDN w:val="0"/>
              <w:adjustRightInd w:val="0"/>
              <w:spacing w:line="240" w:lineRule="atLeast"/>
              <w:jc w:val="right"/>
              <w:textAlignment w:val="baseline"/>
              <w:rPr>
                <w:rFonts w:cs="Arial"/>
                <w:b/>
                <w:bCs/>
                <w:sz w:val="16"/>
                <w:szCs w:val="16"/>
                <w:highlight w:val="yellow"/>
                <w:lang w:val="sl-SI" w:eastAsia="sl-SI"/>
              </w:rPr>
            </w:pPr>
            <w:r w:rsidRPr="006E5D8B">
              <w:rPr>
                <w:rFonts w:cs="Arial"/>
                <w:b/>
                <w:bCs/>
                <w:sz w:val="16"/>
                <w:szCs w:val="16"/>
                <w:lang w:val="sl-SI" w:eastAsia="sl-SI"/>
              </w:rPr>
              <w:t>69.029 EUR</w:t>
            </w:r>
          </w:p>
        </w:tc>
        <w:tc>
          <w:tcPr>
            <w:tcW w:w="1417" w:type="dxa"/>
          </w:tcPr>
          <w:p w14:paraId="7620A91B" w14:textId="77777777" w:rsidR="006E5D8B" w:rsidRPr="006E5D8B" w:rsidRDefault="006E5D8B" w:rsidP="006E5D8B">
            <w:pPr>
              <w:overflowPunct w:val="0"/>
              <w:autoSpaceDE w:val="0"/>
              <w:autoSpaceDN w:val="0"/>
              <w:adjustRightInd w:val="0"/>
              <w:spacing w:line="240" w:lineRule="atLeast"/>
              <w:jc w:val="right"/>
              <w:textAlignment w:val="baseline"/>
              <w:rPr>
                <w:rFonts w:cs="Arial"/>
                <w:b/>
                <w:bCs/>
                <w:sz w:val="16"/>
                <w:szCs w:val="16"/>
                <w:highlight w:val="yellow"/>
                <w:lang w:val="sl-SI" w:eastAsia="sl-SI"/>
              </w:rPr>
            </w:pPr>
            <w:r w:rsidRPr="006E5D8B">
              <w:rPr>
                <w:rFonts w:cs="Arial"/>
                <w:b/>
                <w:bCs/>
                <w:sz w:val="16"/>
                <w:szCs w:val="16"/>
                <w:lang w:val="sl-SI" w:eastAsia="sl-SI"/>
              </w:rPr>
              <w:t>69.029 EUR</w:t>
            </w:r>
          </w:p>
        </w:tc>
      </w:tr>
    </w:tbl>
    <w:p w14:paraId="74210C0C" w14:textId="77777777" w:rsidR="00E65759" w:rsidRDefault="00E65759" w:rsidP="00694DC1">
      <w:pPr>
        <w:pStyle w:val="Alineazaodstavkom"/>
        <w:numPr>
          <w:ilvl w:val="0"/>
          <w:numId w:val="0"/>
        </w:numPr>
        <w:spacing w:line="240" w:lineRule="atLeast"/>
        <w:ind w:left="32" w:right="678"/>
        <w:rPr>
          <w:bCs/>
        </w:rPr>
      </w:pPr>
    </w:p>
    <w:p w14:paraId="05246095" w14:textId="77777777" w:rsidR="0096552E" w:rsidRDefault="0096552E" w:rsidP="00694DC1">
      <w:pPr>
        <w:pStyle w:val="Alineazaodstavkom"/>
        <w:numPr>
          <w:ilvl w:val="0"/>
          <w:numId w:val="0"/>
        </w:numPr>
        <w:spacing w:line="240" w:lineRule="atLeast"/>
        <w:ind w:left="32" w:right="678"/>
        <w:rPr>
          <w:bCs/>
        </w:rPr>
      </w:pPr>
    </w:p>
    <w:p w14:paraId="59FC0EE9" w14:textId="77777777" w:rsidR="0096552E" w:rsidRDefault="0096552E" w:rsidP="0096552E">
      <w:pPr>
        <w:widowControl w:val="0"/>
        <w:spacing w:line="240" w:lineRule="atLeast"/>
        <w:jc w:val="both"/>
        <w:rPr>
          <w:lang w:val="sl-SI"/>
        </w:rPr>
      </w:pPr>
      <w:r w:rsidRPr="0096552E">
        <w:rPr>
          <w:b/>
          <w:bCs/>
          <w:szCs w:val="20"/>
          <w:lang w:val="sl-SI"/>
        </w:rPr>
        <w:t>Tabela 3:</w:t>
      </w:r>
      <w:r w:rsidRPr="0096552E">
        <w:rPr>
          <w:szCs w:val="20"/>
          <w:lang w:val="sl-SI"/>
        </w:rPr>
        <w:t xml:space="preserve"> </w:t>
      </w:r>
      <w:r w:rsidRPr="0096552E">
        <w:rPr>
          <w:rFonts w:cs="Arial"/>
          <w:lang w:val="sl-SI" w:eastAsia="sl-SI"/>
        </w:rPr>
        <w:t xml:space="preserve">Podrobna ocena stroškov za aplikativno podporo pri delovanju </w:t>
      </w:r>
      <w:r w:rsidRPr="0096552E">
        <w:rPr>
          <w:lang w:val="sl-SI"/>
        </w:rPr>
        <w:t xml:space="preserve">varnega okolja </w:t>
      </w:r>
      <w:r w:rsidRPr="0096552E">
        <w:rPr>
          <w:rFonts w:cs="Arial"/>
          <w:lang w:val="sl-SI" w:eastAsia="sl-SI"/>
        </w:rPr>
        <w:t xml:space="preserve">iz četrtega odstavka 7. člena </w:t>
      </w:r>
      <w:r w:rsidRPr="0096552E">
        <w:rPr>
          <w:lang w:val="sl-SI"/>
        </w:rPr>
        <w:t>Uredbe 2022/868/EU  ter vzpostavitev in delovanje enotne informacijske točke iz 8. člena Uredbe 2022/868/EU:</w:t>
      </w:r>
    </w:p>
    <w:tbl>
      <w:tblPr>
        <w:tblStyle w:val="Tabelamrea"/>
        <w:tblW w:w="8960" w:type="dxa"/>
        <w:tblLook w:val="04A0" w:firstRow="1" w:lastRow="0" w:firstColumn="1" w:lastColumn="0" w:noHBand="0" w:noVBand="1"/>
      </w:tblPr>
      <w:tblGrid>
        <w:gridCol w:w="3288"/>
        <w:gridCol w:w="1418"/>
        <w:gridCol w:w="1526"/>
        <w:gridCol w:w="1309"/>
        <w:gridCol w:w="1419"/>
      </w:tblGrid>
      <w:tr w:rsidR="0096552E" w:rsidRPr="0096552E" w14:paraId="6148D82B" w14:textId="77777777" w:rsidTr="00E557A0">
        <w:tc>
          <w:tcPr>
            <w:tcW w:w="3288" w:type="dxa"/>
          </w:tcPr>
          <w:p w14:paraId="6A3B7C7A" w14:textId="77777777" w:rsidR="0096552E" w:rsidRPr="0096552E" w:rsidRDefault="0096552E" w:rsidP="0096552E">
            <w:pPr>
              <w:suppressAutoHyphens/>
              <w:overflowPunct w:val="0"/>
              <w:autoSpaceDE w:val="0"/>
              <w:autoSpaceDN w:val="0"/>
              <w:adjustRightInd w:val="0"/>
              <w:spacing w:line="240" w:lineRule="atLeast"/>
              <w:ind w:right="678"/>
              <w:textAlignment w:val="baseline"/>
              <w:outlineLvl w:val="3"/>
              <w:rPr>
                <w:rFonts w:cs="Arial"/>
                <w:b/>
                <w:sz w:val="18"/>
                <w:szCs w:val="18"/>
                <w:lang w:val="sl-SI" w:eastAsia="sl-SI"/>
              </w:rPr>
            </w:pPr>
            <w:r w:rsidRPr="0096552E">
              <w:rPr>
                <w:rFonts w:cs="Arial"/>
                <w:b/>
                <w:bCs/>
                <w:sz w:val="18"/>
                <w:szCs w:val="18"/>
                <w:lang w:val="sl-SI" w:eastAsia="sl-SI"/>
              </w:rPr>
              <w:t>Ukrep</w:t>
            </w:r>
          </w:p>
        </w:tc>
        <w:tc>
          <w:tcPr>
            <w:tcW w:w="1418" w:type="dxa"/>
          </w:tcPr>
          <w:p w14:paraId="0723458A" w14:textId="77777777" w:rsidR="0096552E" w:rsidRPr="0096552E" w:rsidRDefault="0096552E" w:rsidP="0096552E">
            <w:pPr>
              <w:overflowPunct w:val="0"/>
              <w:autoSpaceDE w:val="0"/>
              <w:autoSpaceDN w:val="0"/>
              <w:adjustRightInd w:val="0"/>
              <w:spacing w:line="240" w:lineRule="atLeast"/>
              <w:jc w:val="right"/>
              <w:textAlignment w:val="baseline"/>
              <w:rPr>
                <w:rFonts w:cs="Arial"/>
                <w:sz w:val="18"/>
                <w:szCs w:val="18"/>
                <w:lang w:val="sl-SI" w:eastAsia="sl-SI"/>
              </w:rPr>
            </w:pPr>
            <w:r w:rsidRPr="0096552E">
              <w:rPr>
                <w:rFonts w:cs="Arial"/>
                <w:b/>
                <w:bCs/>
                <w:sz w:val="18"/>
                <w:szCs w:val="18"/>
                <w:lang w:val="sl-SI" w:eastAsia="sl-SI"/>
              </w:rPr>
              <w:t>2024</w:t>
            </w:r>
          </w:p>
        </w:tc>
        <w:tc>
          <w:tcPr>
            <w:tcW w:w="1526" w:type="dxa"/>
          </w:tcPr>
          <w:p w14:paraId="6F2F8437" w14:textId="77777777" w:rsidR="0096552E" w:rsidRPr="0096552E" w:rsidRDefault="0096552E" w:rsidP="0096552E">
            <w:pPr>
              <w:overflowPunct w:val="0"/>
              <w:autoSpaceDE w:val="0"/>
              <w:autoSpaceDN w:val="0"/>
              <w:adjustRightInd w:val="0"/>
              <w:spacing w:line="240" w:lineRule="atLeast"/>
              <w:jc w:val="right"/>
              <w:textAlignment w:val="baseline"/>
              <w:rPr>
                <w:rFonts w:cs="Arial"/>
                <w:sz w:val="18"/>
                <w:szCs w:val="18"/>
                <w:lang w:val="sl-SI" w:eastAsia="sl-SI"/>
              </w:rPr>
            </w:pPr>
            <w:r w:rsidRPr="0096552E">
              <w:rPr>
                <w:rFonts w:cs="Arial"/>
                <w:b/>
                <w:bCs/>
                <w:sz w:val="18"/>
                <w:szCs w:val="18"/>
                <w:lang w:val="sl-SI" w:eastAsia="sl-SI"/>
              </w:rPr>
              <w:t>2025</w:t>
            </w:r>
          </w:p>
        </w:tc>
        <w:tc>
          <w:tcPr>
            <w:tcW w:w="1309" w:type="dxa"/>
          </w:tcPr>
          <w:p w14:paraId="0CF01DF5" w14:textId="77777777" w:rsidR="0096552E" w:rsidRPr="0096552E" w:rsidRDefault="0096552E" w:rsidP="0096552E">
            <w:pPr>
              <w:overflowPunct w:val="0"/>
              <w:autoSpaceDE w:val="0"/>
              <w:autoSpaceDN w:val="0"/>
              <w:adjustRightInd w:val="0"/>
              <w:spacing w:line="240" w:lineRule="atLeast"/>
              <w:jc w:val="right"/>
              <w:textAlignment w:val="baseline"/>
              <w:rPr>
                <w:rFonts w:cs="Arial"/>
                <w:sz w:val="18"/>
                <w:szCs w:val="18"/>
                <w:lang w:val="sl-SI" w:eastAsia="sl-SI"/>
              </w:rPr>
            </w:pPr>
            <w:r w:rsidRPr="0096552E">
              <w:rPr>
                <w:rFonts w:cs="Arial"/>
                <w:b/>
                <w:bCs/>
                <w:sz w:val="18"/>
                <w:szCs w:val="18"/>
                <w:lang w:val="sl-SI" w:eastAsia="sl-SI"/>
              </w:rPr>
              <w:t>2026</w:t>
            </w:r>
          </w:p>
        </w:tc>
        <w:tc>
          <w:tcPr>
            <w:tcW w:w="1419" w:type="dxa"/>
          </w:tcPr>
          <w:p w14:paraId="72B9E9BC" w14:textId="77777777" w:rsidR="0096552E" w:rsidRPr="0096552E" w:rsidRDefault="0096552E" w:rsidP="0096552E">
            <w:pPr>
              <w:overflowPunct w:val="0"/>
              <w:autoSpaceDE w:val="0"/>
              <w:autoSpaceDN w:val="0"/>
              <w:adjustRightInd w:val="0"/>
              <w:spacing w:line="240" w:lineRule="atLeast"/>
              <w:jc w:val="right"/>
              <w:textAlignment w:val="baseline"/>
              <w:rPr>
                <w:rFonts w:cs="Arial"/>
                <w:sz w:val="18"/>
                <w:szCs w:val="18"/>
                <w:lang w:val="sl-SI" w:eastAsia="sl-SI"/>
              </w:rPr>
            </w:pPr>
            <w:r w:rsidRPr="0096552E">
              <w:rPr>
                <w:rFonts w:cs="Arial"/>
                <w:b/>
                <w:bCs/>
                <w:sz w:val="18"/>
                <w:szCs w:val="18"/>
                <w:lang w:val="sl-SI" w:eastAsia="sl-SI"/>
              </w:rPr>
              <w:t>2027</w:t>
            </w:r>
          </w:p>
        </w:tc>
      </w:tr>
      <w:tr w:rsidR="0096552E" w:rsidRPr="0096552E" w14:paraId="77DE4B7D" w14:textId="77777777" w:rsidTr="00E557A0">
        <w:tc>
          <w:tcPr>
            <w:tcW w:w="3288" w:type="dxa"/>
          </w:tcPr>
          <w:p w14:paraId="4299C1A9" w14:textId="77777777" w:rsidR="0096552E" w:rsidRPr="0096552E" w:rsidRDefault="0096552E" w:rsidP="0096552E">
            <w:pPr>
              <w:suppressAutoHyphens/>
              <w:overflowPunct w:val="0"/>
              <w:autoSpaceDE w:val="0"/>
              <w:autoSpaceDN w:val="0"/>
              <w:adjustRightInd w:val="0"/>
              <w:spacing w:line="240" w:lineRule="atLeast"/>
              <w:ind w:right="34"/>
              <w:textAlignment w:val="baseline"/>
              <w:outlineLvl w:val="3"/>
              <w:rPr>
                <w:rFonts w:cs="Arial"/>
                <w:b/>
                <w:sz w:val="18"/>
                <w:szCs w:val="18"/>
                <w:highlight w:val="yellow"/>
                <w:lang w:val="sl-SI" w:eastAsia="sl-SI"/>
              </w:rPr>
            </w:pPr>
            <w:r w:rsidRPr="0096552E">
              <w:rPr>
                <w:rFonts w:cs="Arial"/>
                <w:sz w:val="18"/>
                <w:szCs w:val="18"/>
                <w:lang w:val="sl-SI" w:eastAsia="sl-SI"/>
              </w:rPr>
              <w:t>Aplikativna nadgradnja na spletu za objavo informacij (Vzpostavitev Enotne informacijske točke)</w:t>
            </w:r>
          </w:p>
        </w:tc>
        <w:tc>
          <w:tcPr>
            <w:tcW w:w="1418" w:type="dxa"/>
            <w:vAlign w:val="center"/>
          </w:tcPr>
          <w:p w14:paraId="1FA75AA5" w14:textId="77777777" w:rsidR="0096552E" w:rsidRPr="0096552E" w:rsidRDefault="0096552E" w:rsidP="0096552E">
            <w:pPr>
              <w:overflowPunct w:val="0"/>
              <w:autoSpaceDE w:val="0"/>
              <w:autoSpaceDN w:val="0"/>
              <w:adjustRightInd w:val="0"/>
              <w:spacing w:line="240" w:lineRule="atLeast"/>
              <w:jc w:val="right"/>
              <w:textAlignment w:val="baseline"/>
              <w:rPr>
                <w:rFonts w:cs="Arial"/>
                <w:sz w:val="18"/>
                <w:szCs w:val="18"/>
                <w:lang w:val="sl-SI" w:eastAsia="sl-SI"/>
              </w:rPr>
            </w:pPr>
            <w:r w:rsidRPr="0096552E">
              <w:rPr>
                <w:rFonts w:cs="Arial"/>
                <w:sz w:val="18"/>
                <w:szCs w:val="18"/>
                <w:lang w:val="sl-SI" w:eastAsia="sl-SI"/>
              </w:rPr>
              <w:t>0 EUR</w:t>
            </w:r>
          </w:p>
        </w:tc>
        <w:tc>
          <w:tcPr>
            <w:tcW w:w="1526" w:type="dxa"/>
            <w:vAlign w:val="center"/>
          </w:tcPr>
          <w:p w14:paraId="724D3525" w14:textId="77777777" w:rsidR="0096552E" w:rsidRPr="0096552E" w:rsidRDefault="0096552E" w:rsidP="0096552E">
            <w:pPr>
              <w:overflowPunct w:val="0"/>
              <w:autoSpaceDE w:val="0"/>
              <w:autoSpaceDN w:val="0"/>
              <w:adjustRightInd w:val="0"/>
              <w:spacing w:line="240" w:lineRule="atLeast"/>
              <w:jc w:val="right"/>
              <w:textAlignment w:val="baseline"/>
              <w:rPr>
                <w:rFonts w:cs="Arial"/>
                <w:sz w:val="18"/>
                <w:szCs w:val="18"/>
                <w:lang w:val="sl-SI" w:eastAsia="sl-SI"/>
              </w:rPr>
            </w:pPr>
            <w:r w:rsidRPr="0096552E">
              <w:rPr>
                <w:rFonts w:cs="Arial"/>
                <w:sz w:val="18"/>
                <w:szCs w:val="18"/>
                <w:lang w:val="sl-SI" w:eastAsia="sl-SI"/>
              </w:rPr>
              <w:t>30.000 EUR</w:t>
            </w:r>
          </w:p>
        </w:tc>
        <w:tc>
          <w:tcPr>
            <w:tcW w:w="1309" w:type="dxa"/>
            <w:vAlign w:val="center"/>
          </w:tcPr>
          <w:p w14:paraId="16FCB80B" w14:textId="77777777" w:rsidR="0096552E" w:rsidRPr="0096552E" w:rsidRDefault="0096552E" w:rsidP="0096552E">
            <w:pPr>
              <w:overflowPunct w:val="0"/>
              <w:autoSpaceDE w:val="0"/>
              <w:autoSpaceDN w:val="0"/>
              <w:adjustRightInd w:val="0"/>
              <w:spacing w:line="240" w:lineRule="atLeast"/>
              <w:jc w:val="right"/>
              <w:textAlignment w:val="baseline"/>
              <w:rPr>
                <w:rFonts w:cs="Arial"/>
                <w:sz w:val="18"/>
                <w:szCs w:val="18"/>
                <w:lang w:val="sl-SI" w:eastAsia="sl-SI"/>
              </w:rPr>
            </w:pPr>
            <w:r w:rsidRPr="0096552E">
              <w:rPr>
                <w:rFonts w:cs="Arial"/>
                <w:sz w:val="18"/>
                <w:szCs w:val="18"/>
                <w:lang w:val="sl-SI" w:eastAsia="sl-SI"/>
              </w:rPr>
              <w:t>0 EUR</w:t>
            </w:r>
          </w:p>
        </w:tc>
        <w:tc>
          <w:tcPr>
            <w:tcW w:w="1419" w:type="dxa"/>
            <w:vAlign w:val="center"/>
          </w:tcPr>
          <w:p w14:paraId="782D2B2D" w14:textId="77777777" w:rsidR="0096552E" w:rsidRPr="0096552E" w:rsidRDefault="0096552E" w:rsidP="0096552E">
            <w:pPr>
              <w:overflowPunct w:val="0"/>
              <w:autoSpaceDE w:val="0"/>
              <w:autoSpaceDN w:val="0"/>
              <w:adjustRightInd w:val="0"/>
              <w:spacing w:line="240" w:lineRule="atLeast"/>
              <w:jc w:val="right"/>
              <w:textAlignment w:val="baseline"/>
              <w:rPr>
                <w:rFonts w:cs="Arial"/>
                <w:sz w:val="18"/>
                <w:szCs w:val="18"/>
                <w:lang w:val="sl-SI" w:eastAsia="sl-SI"/>
              </w:rPr>
            </w:pPr>
            <w:r w:rsidRPr="0096552E">
              <w:rPr>
                <w:rFonts w:cs="Arial"/>
                <w:sz w:val="18"/>
                <w:szCs w:val="18"/>
                <w:lang w:val="sl-SI" w:eastAsia="sl-SI"/>
              </w:rPr>
              <w:t>0 EUR</w:t>
            </w:r>
          </w:p>
        </w:tc>
      </w:tr>
      <w:tr w:rsidR="0096552E" w:rsidRPr="0096552E" w14:paraId="3BB232F9" w14:textId="77777777" w:rsidTr="00E557A0">
        <w:tc>
          <w:tcPr>
            <w:tcW w:w="3288" w:type="dxa"/>
          </w:tcPr>
          <w:p w14:paraId="2602FB37" w14:textId="77777777" w:rsidR="0096552E" w:rsidRPr="0096552E" w:rsidRDefault="0096552E" w:rsidP="0096552E">
            <w:pPr>
              <w:suppressAutoHyphens/>
              <w:overflowPunct w:val="0"/>
              <w:autoSpaceDE w:val="0"/>
              <w:autoSpaceDN w:val="0"/>
              <w:adjustRightInd w:val="0"/>
              <w:spacing w:line="240" w:lineRule="atLeast"/>
              <w:textAlignment w:val="baseline"/>
              <w:outlineLvl w:val="3"/>
              <w:rPr>
                <w:rFonts w:cs="Arial"/>
                <w:b/>
                <w:sz w:val="18"/>
                <w:szCs w:val="18"/>
                <w:lang w:val="sl-SI" w:eastAsia="sl-SI"/>
              </w:rPr>
            </w:pPr>
            <w:r w:rsidRPr="0096552E">
              <w:rPr>
                <w:rFonts w:cs="Arial"/>
                <w:bCs/>
                <w:sz w:val="18"/>
                <w:szCs w:val="18"/>
                <w:lang w:val="sl-SI" w:eastAsia="sl-SI"/>
              </w:rPr>
              <w:t xml:space="preserve">Aplikativna nadgradnja za pripravo in sprejem elektronske vloge </w:t>
            </w:r>
            <w:r w:rsidRPr="0096552E">
              <w:rPr>
                <w:rFonts w:cs="Arial"/>
                <w:sz w:val="18"/>
                <w:szCs w:val="18"/>
                <w:lang w:val="sl-SI" w:eastAsia="sl-SI"/>
              </w:rPr>
              <w:t>(Vzpostavitev Enotne informacijske točke)</w:t>
            </w:r>
          </w:p>
        </w:tc>
        <w:tc>
          <w:tcPr>
            <w:tcW w:w="1418" w:type="dxa"/>
            <w:vAlign w:val="center"/>
          </w:tcPr>
          <w:p w14:paraId="5B6C29BF" w14:textId="77777777" w:rsidR="0096552E" w:rsidRPr="0096552E" w:rsidRDefault="0096552E" w:rsidP="0096552E">
            <w:pPr>
              <w:overflowPunct w:val="0"/>
              <w:autoSpaceDE w:val="0"/>
              <w:autoSpaceDN w:val="0"/>
              <w:adjustRightInd w:val="0"/>
              <w:spacing w:line="240" w:lineRule="atLeast"/>
              <w:jc w:val="right"/>
              <w:textAlignment w:val="baseline"/>
              <w:rPr>
                <w:rFonts w:cs="Arial"/>
                <w:sz w:val="18"/>
                <w:szCs w:val="18"/>
                <w:lang w:val="sl-SI" w:eastAsia="sl-SI"/>
              </w:rPr>
            </w:pPr>
            <w:r w:rsidRPr="0096552E">
              <w:rPr>
                <w:rFonts w:cs="Arial"/>
                <w:sz w:val="18"/>
                <w:szCs w:val="18"/>
                <w:lang w:val="sl-SI" w:eastAsia="sl-SI"/>
              </w:rPr>
              <w:t>0 EUR</w:t>
            </w:r>
          </w:p>
        </w:tc>
        <w:tc>
          <w:tcPr>
            <w:tcW w:w="1526" w:type="dxa"/>
            <w:vAlign w:val="center"/>
          </w:tcPr>
          <w:p w14:paraId="5F8A6A23" w14:textId="77777777" w:rsidR="0096552E" w:rsidRPr="0096552E" w:rsidRDefault="0096552E" w:rsidP="0096552E">
            <w:pPr>
              <w:overflowPunct w:val="0"/>
              <w:autoSpaceDE w:val="0"/>
              <w:autoSpaceDN w:val="0"/>
              <w:adjustRightInd w:val="0"/>
              <w:spacing w:line="240" w:lineRule="atLeast"/>
              <w:jc w:val="right"/>
              <w:textAlignment w:val="baseline"/>
              <w:rPr>
                <w:rFonts w:cs="Arial"/>
                <w:sz w:val="18"/>
                <w:szCs w:val="18"/>
                <w:lang w:val="sl-SI" w:eastAsia="sl-SI"/>
              </w:rPr>
            </w:pPr>
            <w:r w:rsidRPr="0096552E">
              <w:rPr>
                <w:rFonts w:cs="Arial"/>
                <w:sz w:val="18"/>
                <w:szCs w:val="18"/>
                <w:lang w:val="sl-SI" w:eastAsia="sl-SI"/>
              </w:rPr>
              <w:t>25.000 EUR</w:t>
            </w:r>
          </w:p>
        </w:tc>
        <w:tc>
          <w:tcPr>
            <w:tcW w:w="1309" w:type="dxa"/>
            <w:vAlign w:val="center"/>
          </w:tcPr>
          <w:p w14:paraId="5C16B42E" w14:textId="77777777" w:rsidR="0096552E" w:rsidRPr="0096552E" w:rsidRDefault="0096552E" w:rsidP="0096552E">
            <w:pPr>
              <w:overflowPunct w:val="0"/>
              <w:autoSpaceDE w:val="0"/>
              <w:autoSpaceDN w:val="0"/>
              <w:adjustRightInd w:val="0"/>
              <w:spacing w:line="240" w:lineRule="atLeast"/>
              <w:jc w:val="right"/>
              <w:textAlignment w:val="baseline"/>
              <w:rPr>
                <w:rFonts w:cs="Arial"/>
                <w:sz w:val="18"/>
                <w:szCs w:val="18"/>
                <w:lang w:val="sl-SI" w:eastAsia="sl-SI"/>
              </w:rPr>
            </w:pPr>
            <w:r w:rsidRPr="0096552E">
              <w:rPr>
                <w:rFonts w:cs="Arial"/>
                <w:sz w:val="18"/>
                <w:szCs w:val="18"/>
                <w:lang w:val="sl-SI" w:eastAsia="sl-SI"/>
              </w:rPr>
              <w:t>0 EUR</w:t>
            </w:r>
          </w:p>
        </w:tc>
        <w:tc>
          <w:tcPr>
            <w:tcW w:w="1419" w:type="dxa"/>
            <w:vAlign w:val="center"/>
          </w:tcPr>
          <w:p w14:paraId="6E0B1F07" w14:textId="77777777" w:rsidR="0096552E" w:rsidRPr="0096552E" w:rsidRDefault="0096552E" w:rsidP="0096552E">
            <w:pPr>
              <w:overflowPunct w:val="0"/>
              <w:autoSpaceDE w:val="0"/>
              <w:autoSpaceDN w:val="0"/>
              <w:adjustRightInd w:val="0"/>
              <w:spacing w:line="240" w:lineRule="atLeast"/>
              <w:jc w:val="right"/>
              <w:textAlignment w:val="baseline"/>
              <w:rPr>
                <w:rFonts w:cs="Arial"/>
                <w:sz w:val="18"/>
                <w:szCs w:val="18"/>
                <w:lang w:val="sl-SI" w:eastAsia="sl-SI"/>
              </w:rPr>
            </w:pPr>
            <w:r w:rsidRPr="0096552E">
              <w:rPr>
                <w:rFonts w:cs="Arial"/>
                <w:sz w:val="18"/>
                <w:szCs w:val="18"/>
                <w:lang w:val="sl-SI" w:eastAsia="sl-SI"/>
              </w:rPr>
              <w:t>0 EUR</w:t>
            </w:r>
          </w:p>
        </w:tc>
      </w:tr>
      <w:tr w:rsidR="0096552E" w:rsidRPr="0096552E" w14:paraId="2C890992" w14:textId="77777777" w:rsidTr="00E557A0">
        <w:tc>
          <w:tcPr>
            <w:tcW w:w="3288" w:type="dxa"/>
          </w:tcPr>
          <w:p w14:paraId="3E5A55CC" w14:textId="77777777" w:rsidR="0096552E" w:rsidRPr="0096552E" w:rsidRDefault="0096552E" w:rsidP="0096552E">
            <w:pPr>
              <w:suppressAutoHyphens/>
              <w:overflowPunct w:val="0"/>
              <w:autoSpaceDE w:val="0"/>
              <w:autoSpaceDN w:val="0"/>
              <w:adjustRightInd w:val="0"/>
              <w:spacing w:line="240" w:lineRule="atLeast"/>
              <w:textAlignment w:val="baseline"/>
              <w:outlineLvl w:val="3"/>
              <w:rPr>
                <w:rFonts w:cs="Arial"/>
                <w:b/>
                <w:sz w:val="18"/>
                <w:szCs w:val="18"/>
                <w:highlight w:val="yellow"/>
                <w:lang w:val="sl-SI" w:eastAsia="sl-SI"/>
              </w:rPr>
            </w:pPr>
            <w:r w:rsidRPr="0096552E">
              <w:rPr>
                <w:rFonts w:cs="Arial"/>
                <w:bCs/>
                <w:sz w:val="18"/>
                <w:szCs w:val="18"/>
                <w:lang w:val="sl-SI" w:eastAsia="sl-SI"/>
              </w:rPr>
              <w:t>Aplikativna podpora delovanju varnega okolja in prenosu podatkov</w:t>
            </w:r>
          </w:p>
        </w:tc>
        <w:tc>
          <w:tcPr>
            <w:tcW w:w="1418" w:type="dxa"/>
            <w:vMerge w:val="restart"/>
            <w:vAlign w:val="center"/>
          </w:tcPr>
          <w:p w14:paraId="2A9A36B2" w14:textId="77777777" w:rsidR="0096552E" w:rsidRPr="0096552E" w:rsidRDefault="0096552E" w:rsidP="0096552E">
            <w:pPr>
              <w:overflowPunct w:val="0"/>
              <w:autoSpaceDE w:val="0"/>
              <w:autoSpaceDN w:val="0"/>
              <w:adjustRightInd w:val="0"/>
              <w:spacing w:line="240" w:lineRule="atLeast"/>
              <w:jc w:val="right"/>
              <w:textAlignment w:val="baseline"/>
              <w:rPr>
                <w:rFonts w:cs="Arial"/>
                <w:sz w:val="18"/>
                <w:szCs w:val="18"/>
                <w:highlight w:val="yellow"/>
                <w:lang w:val="sl-SI" w:eastAsia="sl-SI"/>
              </w:rPr>
            </w:pPr>
            <w:r w:rsidRPr="0096552E">
              <w:rPr>
                <w:rFonts w:cs="Arial"/>
                <w:sz w:val="18"/>
                <w:szCs w:val="18"/>
                <w:lang w:val="sl-SI" w:eastAsia="sl-SI"/>
              </w:rPr>
              <w:t>0 EUR</w:t>
            </w:r>
          </w:p>
        </w:tc>
        <w:tc>
          <w:tcPr>
            <w:tcW w:w="1526" w:type="dxa"/>
            <w:vMerge w:val="restart"/>
            <w:vAlign w:val="center"/>
          </w:tcPr>
          <w:p w14:paraId="79311E5B" w14:textId="77777777" w:rsidR="0096552E" w:rsidRPr="0096552E" w:rsidRDefault="0096552E" w:rsidP="0096552E">
            <w:pPr>
              <w:overflowPunct w:val="0"/>
              <w:autoSpaceDE w:val="0"/>
              <w:autoSpaceDN w:val="0"/>
              <w:adjustRightInd w:val="0"/>
              <w:spacing w:line="240" w:lineRule="atLeast"/>
              <w:jc w:val="right"/>
              <w:textAlignment w:val="baseline"/>
              <w:rPr>
                <w:rFonts w:cs="Arial"/>
                <w:sz w:val="18"/>
                <w:szCs w:val="18"/>
                <w:lang w:val="sl-SI" w:eastAsia="sl-SI"/>
              </w:rPr>
            </w:pPr>
            <w:r w:rsidRPr="0096552E">
              <w:rPr>
                <w:rFonts w:cs="Arial"/>
                <w:sz w:val="18"/>
                <w:szCs w:val="18"/>
                <w:lang w:val="sl-SI" w:eastAsia="sl-SI"/>
              </w:rPr>
              <w:t>520.000 EUR</w:t>
            </w:r>
          </w:p>
        </w:tc>
        <w:tc>
          <w:tcPr>
            <w:tcW w:w="1309" w:type="dxa"/>
            <w:vMerge w:val="restart"/>
            <w:vAlign w:val="center"/>
          </w:tcPr>
          <w:p w14:paraId="6C668523" w14:textId="77777777" w:rsidR="0096552E" w:rsidRPr="0096552E" w:rsidRDefault="0096552E" w:rsidP="0096552E">
            <w:pPr>
              <w:overflowPunct w:val="0"/>
              <w:autoSpaceDE w:val="0"/>
              <w:autoSpaceDN w:val="0"/>
              <w:adjustRightInd w:val="0"/>
              <w:spacing w:line="240" w:lineRule="atLeast"/>
              <w:jc w:val="right"/>
              <w:textAlignment w:val="baseline"/>
              <w:rPr>
                <w:rFonts w:cs="Arial"/>
                <w:sz w:val="18"/>
                <w:szCs w:val="18"/>
                <w:lang w:val="sl-SI" w:eastAsia="sl-SI"/>
              </w:rPr>
            </w:pPr>
            <w:r w:rsidRPr="0096552E">
              <w:rPr>
                <w:rFonts w:cs="Arial"/>
                <w:sz w:val="18"/>
                <w:szCs w:val="18"/>
                <w:lang w:val="sl-SI" w:eastAsia="sl-SI"/>
              </w:rPr>
              <w:t>540.000 EUR</w:t>
            </w:r>
          </w:p>
        </w:tc>
        <w:tc>
          <w:tcPr>
            <w:tcW w:w="1419" w:type="dxa"/>
            <w:vMerge w:val="restart"/>
            <w:vAlign w:val="center"/>
          </w:tcPr>
          <w:p w14:paraId="340E8820" w14:textId="77777777" w:rsidR="0096552E" w:rsidRPr="0096552E" w:rsidRDefault="0096552E" w:rsidP="0096552E">
            <w:pPr>
              <w:overflowPunct w:val="0"/>
              <w:autoSpaceDE w:val="0"/>
              <w:autoSpaceDN w:val="0"/>
              <w:adjustRightInd w:val="0"/>
              <w:spacing w:line="240" w:lineRule="atLeast"/>
              <w:jc w:val="right"/>
              <w:textAlignment w:val="baseline"/>
              <w:rPr>
                <w:rFonts w:cs="Arial"/>
                <w:sz w:val="18"/>
                <w:szCs w:val="18"/>
                <w:lang w:val="sl-SI" w:eastAsia="sl-SI"/>
              </w:rPr>
            </w:pPr>
            <w:r w:rsidRPr="0096552E">
              <w:rPr>
                <w:rFonts w:cs="Arial"/>
                <w:sz w:val="18"/>
                <w:szCs w:val="18"/>
                <w:lang w:val="sl-SI" w:eastAsia="sl-SI"/>
              </w:rPr>
              <w:t>505.000 EUR</w:t>
            </w:r>
          </w:p>
        </w:tc>
      </w:tr>
      <w:tr w:rsidR="0096552E" w:rsidRPr="0096552E" w14:paraId="32C200D6" w14:textId="77777777" w:rsidTr="00E557A0">
        <w:tc>
          <w:tcPr>
            <w:tcW w:w="3288" w:type="dxa"/>
          </w:tcPr>
          <w:p w14:paraId="2040E6A1" w14:textId="77777777" w:rsidR="0096552E" w:rsidRPr="0096552E" w:rsidRDefault="0096552E" w:rsidP="0096552E">
            <w:pPr>
              <w:suppressAutoHyphens/>
              <w:overflowPunct w:val="0"/>
              <w:autoSpaceDE w:val="0"/>
              <w:autoSpaceDN w:val="0"/>
              <w:adjustRightInd w:val="0"/>
              <w:spacing w:line="240" w:lineRule="atLeast"/>
              <w:textAlignment w:val="baseline"/>
              <w:outlineLvl w:val="3"/>
              <w:rPr>
                <w:rFonts w:cs="Arial"/>
                <w:b/>
                <w:sz w:val="18"/>
                <w:szCs w:val="18"/>
                <w:highlight w:val="yellow"/>
                <w:lang w:val="sl-SI" w:eastAsia="sl-SI"/>
              </w:rPr>
            </w:pPr>
            <w:r w:rsidRPr="0096552E">
              <w:rPr>
                <w:rFonts w:cs="Arial"/>
                <w:bCs/>
                <w:sz w:val="18"/>
                <w:szCs w:val="18"/>
                <w:lang w:val="sl-SI" w:eastAsia="sl-SI"/>
              </w:rPr>
              <w:t>Aplikativna podpora glede strukturiranja in hrambe podatkov ter zagotavljanje smernic</w:t>
            </w:r>
          </w:p>
        </w:tc>
        <w:tc>
          <w:tcPr>
            <w:tcW w:w="1418" w:type="dxa"/>
            <w:vMerge/>
          </w:tcPr>
          <w:p w14:paraId="74DC77FD" w14:textId="77777777" w:rsidR="0096552E" w:rsidRPr="0096552E" w:rsidRDefault="0096552E" w:rsidP="0096552E">
            <w:pPr>
              <w:numPr>
                <w:ilvl w:val="0"/>
                <w:numId w:val="24"/>
              </w:numPr>
              <w:overflowPunct w:val="0"/>
              <w:autoSpaceDE w:val="0"/>
              <w:autoSpaceDN w:val="0"/>
              <w:adjustRightInd w:val="0"/>
              <w:spacing w:line="240" w:lineRule="atLeast"/>
              <w:ind w:left="0" w:hanging="284"/>
              <w:jc w:val="right"/>
              <w:textAlignment w:val="baseline"/>
              <w:rPr>
                <w:rFonts w:cs="Arial"/>
                <w:sz w:val="18"/>
                <w:szCs w:val="18"/>
                <w:highlight w:val="yellow"/>
                <w:lang w:val="sl-SI" w:eastAsia="sl-SI"/>
              </w:rPr>
            </w:pPr>
          </w:p>
        </w:tc>
        <w:tc>
          <w:tcPr>
            <w:tcW w:w="1526" w:type="dxa"/>
            <w:vMerge/>
          </w:tcPr>
          <w:p w14:paraId="48F42C61" w14:textId="77777777" w:rsidR="0096552E" w:rsidRPr="0096552E" w:rsidRDefault="0096552E" w:rsidP="0096552E">
            <w:pPr>
              <w:numPr>
                <w:ilvl w:val="0"/>
                <w:numId w:val="24"/>
              </w:numPr>
              <w:overflowPunct w:val="0"/>
              <w:autoSpaceDE w:val="0"/>
              <w:autoSpaceDN w:val="0"/>
              <w:adjustRightInd w:val="0"/>
              <w:spacing w:line="240" w:lineRule="atLeast"/>
              <w:ind w:left="0" w:hanging="284"/>
              <w:jc w:val="right"/>
              <w:textAlignment w:val="baseline"/>
              <w:rPr>
                <w:rFonts w:cs="Arial"/>
                <w:sz w:val="18"/>
                <w:szCs w:val="18"/>
                <w:highlight w:val="yellow"/>
                <w:lang w:val="sl-SI" w:eastAsia="sl-SI"/>
              </w:rPr>
            </w:pPr>
          </w:p>
        </w:tc>
        <w:tc>
          <w:tcPr>
            <w:tcW w:w="1309" w:type="dxa"/>
            <w:vMerge/>
          </w:tcPr>
          <w:p w14:paraId="5A576EA9" w14:textId="77777777" w:rsidR="0096552E" w:rsidRPr="0096552E" w:rsidRDefault="0096552E" w:rsidP="0096552E">
            <w:pPr>
              <w:numPr>
                <w:ilvl w:val="0"/>
                <w:numId w:val="24"/>
              </w:numPr>
              <w:overflowPunct w:val="0"/>
              <w:autoSpaceDE w:val="0"/>
              <w:autoSpaceDN w:val="0"/>
              <w:adjustRightInd w:val="0"/>
              <w:spacing w:line="240" w:lineRule="atLeast"/>
              <w:ind w:left="0" w:hanging="284"/>
              <w:jc w:val="right"/>
              <w:textAlignment w:val="baseline"/>
              <w:rPr>
                <w:rFonts w:cs="Arial"/>
                <w:sz w:val="18"/>
                <w:szCs w:val="18"/>
                <w:highlight w:val="yellow"/>
                <w:lang w:val="sl-SI" w:eastAsia="sl-SI"/>
              </w:rPr>
            </w:pPr>
          </w:p>
        </w:tc>
        <w:tc>
          <w:tcPr>
            <w:tcW w:w="1419" w:type="dxa"/>
            <w:vMerge/>
          </w:tcPr>
          <w:p w14:paraId="673D3909" w14:textId="77777777" w:rsidR="0096552E" w:rsidRPr="0096552E" w:rsidRDefault="0096552E" w:rsidP="0096552E">
            <w:pPr>
              <w:numPr>
                <w:ilvl w:val="0"/>
                <w:numId w:val="24"/>
              </w:numPr>
              <w:overflowPunct w:val="0"/>
              <w:autoSpaceDE w:val="0"/>
              <w:autoSpaceDN w:val="0"/>
              <w:adjustRightInd w:val="0"/>
              <w:spacing w:line="240" w:lineRule="atLeast"/>
              <w:ind w:left="0" w:hanging="284"/>
              <w:jc w:val="right"/>
              <w:textAlignment w:val="baseline"/>
              <w:rPr>
                <w:rFonts w:cs="Arial"/>
                <w:sz w:val="18"/>
                <w:szCs w:val="18"/>
                <w:highlight w:val="yellow"/>
                <w:lang w:val="sl-SI" w:eastAsia="sl-SI"/>
              </w:rPr>
            </w:pPr>
          </w:p>
        </w:tc>
      </w:tr>
      <w:tr w:rsidR="0096552E" w:rsidRPr="0096552E" w14:paraId="3CA525F4" w14:textId="77777777" w:rsidTr="00E557A0">
        <w:tc>
          <w:tcPr>
            <w:tcW w:w="3288" w:type="dxa"/>
          </w:tcPr>
          <w:p w14:paraId="57A6E12A" w14:textId="77777777" w:rsidR="0096552E" w:rsidRPr="0096552E" w:rsidRDefault="0096552E" w:rsidP="0096552E">
            <w:pPr>
              <w:suppressAutoHyphens/>
              <w:overflowPunct w:val="0"/>
              <w:autoSpaceDE w:val="0"/>
              <w:autoSpaceDN w:val="0"/>
              <w:adjustRightInd w:val="0"/>
              <w:spacing w:line="240" w:lineRule="atLeast"/>
              <w:textAlignment w:val="baseline"/>
              <w:outlineLvl w:val="3"/>
              <w:rPr>
                <w:rFonts w:cs="Arial"/>
                <w:b/>
                <w:sz w:val="18"/>
                <w:szCs w:val="18"/>
                <w:highlight w:val="yellow"/>
                <w:lang w:val="sl-SI" w:eastAsia="sl-SI"/>
              </w:rPr>
            </w:pPr>
            <w:r w:rsidRPr="0096552E">
              <w:rPr>
                <w:rFonts w:cs="Arial"/>
                <w:bCs/>
                <w:sz w:val="18"/>
                <w:szCs w:val="18"/>
                <w:lang w:val="sl-SI" w:eastAsia="sl-SI"/>
              </w:rPr>
              <w:t>Aplikativna podpora pri psevdonimizaciji in zagotavljanje varne in zaupne obdelave podatkov</w:t>
            </w:r>
          </w:p>
        </w:tc>
        <w:tc>
          <w:tcPr>
            <w:tcW w:w="1418" w:type="dxa"/>
            <w:vMerge/>
          </w:tcPr>
          <w:p w14:paraId="3818F6C7" w14:textId="77777777" w:rsidR="0096552E" w:rsidRPr="0096552E" w:rsidRDefault="0096552E" w:rsidP="0096552E">
            <w:pPr>
              <w:overflowPunct w:val="0"/>
              <w:autoSpaceDE w:val="0"/>
              <w:autoSpaceDN w:val="0"/>
              <w:adjustRightInd w:val="0"/>
              <w:spacing w:line="240" w:lineRule="atLeast"/>
              <w:jc w:val="right"/>
              <w:textAlignment w:val="baseline"/>
              <w:rPr>
                <w:rFonts w:cs="Arial"/>
                <w:sz w:val="18"/>
                <w:szCs w:val="18"/>
                <w:highlight w:val="yellow"/>
                <w:lang w:val="sl-SI" w:eastAsia="sl-SI"/>
              </w:rPr>
            </w:pPr>
          </w:p>
        </w:tc>
        <w:tc>
          <w:tcPr>
            <w:tcW w:w="1526" w:type="dxa"/>
            <w:vMerge/>
          </w:tcPr>
          <w:p w14:paraId="30C00710" w14:textId="77777777" w:rsidR="0096552E" w:rsidRPr="0096552E" w:rsidRDefault="0096552E" w:rsidP="0096552E">
            <w:pPr>
              <w:overflowPunct w:val="0"/>
              <w:autoSpaceDE w:val="0"/>
              <w:autoSpaceDN w:val="0"/>
              <w:adjustRightInd w:val="0"/>
              <w:spacing w:line="240" w:lineRule="atLeast"/>
              <w:jc w:val="right"/>
              <w:textAlignment w:val="baseline"/>
              <w:rPr>
                <w:rFonts w:cs="Arial"/>
                <w:sz w:val="18"/>
                <w:szCs w:val="18"/>
                <w:highlight w:val="yellow"/>
                <w:lang w:val="sl-SI" w:eastAsia="sl-SI"/>
              </w:rPr>
            </w:pPr>
          </w:p>
        </w:tc>
        <w:tc>
          <w:tcPr>
            <w:tcW w:w="1309" w:type="dxa"/>
            <w:vMerge/>
          </w:tcPr>
          <w:p w14:paraId="51DBB153" w14:textId="77777777" w:rsidR="0096552E" w:rsidRPr="0096552E" w:rsidRDefault="0096552E" w:rsidP="0096552E">
            <w:pPr>
              <w:overflowPunct w:val="0"/>
              <w:autoSpaceDE w:val="0"/>
              <w:autoSpaceDN w:val="0"/>
              <w:adjustRightInd w:val="0"/>
              <w:spacing w:line="240" w:lineRule="atLeast"/>
              <w:jc w:val="right"/>
              <w:textAlignment w:val="baseline"/>
              <w:rPr>
                <w:rFonts w:cs="Arial"/>
                <w:sz w:val="18"/>
                <w:szCs w:val="18"/>
                <w:highlight w:val="yellow"/>
                <w:lang w:val="sl-SI" w:eastAsia="sl-SI"/>
              </w:rPr>
            </w:pPr>
          </w:p>
        </w:tc>
        <w:tc>
          <w:tcPr>
            <w:tcW w:w="1419" w:type="dxa"/>
            <w:vMerge/>
          </w:tcPr>
          <w:p w14:paraId="742EA60D" w14:textId="77777777" w:rsidR="0096552E" w:rsidRPr="0096552E" w:rsidRDefault="0096552E" w:rsidP="0096552E">
            <w:pPr>
              <w:overflowPunct w:val="0"/>
              <w:autoSpaceDE w:val="0"/>
              <w:autoSpaceDN w:val="0"/>
              <w:adjustRightInd w:val="0"/>
              <w:spacing w:line="240" w:lineRule="atLeast"/>
              <w:jc w:val="right"/>
              <w:textAlignment w:val="baseline"/>
              <w:rPr>
                <w:rFonts w:cs="Arial"/>
                <w:sz w:val="18"/>
                <w:szCs w:val="18"/>
                <w:highlight w:val="yellow"/>
                <w:lang w:val="sl-SI" w:eastAsia="sl-SI"/>
              </w:rPr>
            </w:pPr>
          </w:p>
        </w:tc>
      </w:tr>
      <w:tr w:rsidR="0096552E" w:rsidRPr="004B1C6E" w14:paraId="7354772F" w14:textId="77777777" w:rsidTr="00E557A0">
        <w:tc>
          <w:tcPr>
            <w:tcW w:w="8960" w:type="dxa"/>
            <w:gridSpan w:val="5"/>
          </w:tcPr>
          <w:p w14:paraId="26ADC467" w14:textId="77777777" w:rsidR="0096552E" w:rsidRPr="0096552E" w:rsidRDefault="0096552E" w:rsidP="0096552E">
            <w:pPr>
              <w:overflowPunct w:val="0"/>
              <w:autoSpaceDE w:val="0"/>
              <w:autoSpaceDN w:val="0"/>
              <w:adjustRightInd w:val="0"/>
              <w:spacing w:line="240" w:lineRule="atLeast"/>
              <w:jc w:val="center"/>
              <w:textAlignment w:val="baseline"/>
              <w:rPr>
                <w:rFonts w:cs="Arial"/>
                <w:sz w:val="18"/>
                <w:szCs w:val="18"/>
                <w:highlight w:val="yellow"/>
                <w:lang w:val="sl-SI" w:eastAsia="sl-SI"/>
              </w:rPr>
            </w:pPr>
            <w:r w:rsidRPr="0096552E">
              <w:rPr>
                <w:rFonts w:cs="Arial"/>
                <w:b/>
                <w:bCs/>
                <w:sz w:val="18"/>
                <w:szCs w:val="18"/>
                <w:lang w:val="sl-SI" w:eastAsia="sl-SI"/>
              </w:rPr>
              <w:t>Strošek zaposlitev za aplikativno podporo</w:t>
            </w:r>
          </w:p>
        </w:tc>
      </w:tr>
      <w:tr w:rsidR="0096552E" w:rsidRPr="0096552E" w14:paraId="5532EE8C" w14:textId="77777777" w:rsidTr="00E557A0">
        <w:tc>
          <w:tcPr>
            <w:tcW w:w="3288" w:type="dxa"/>
          </w:tcPr>
          <w:p w14:paraId="0A6D4921" w14:textId="77777777" w:rsidR="0096552E" w:rsidRPr="0096552E" w:rsidRDefault="0096552E" w:rsidP="0096552E">
            <w:pPr>
              <w:suppressAutoHyphens/>
              <w:overflowPunct w:val="0"/>
              <w:autoSpaceDE w:val="0"/>
              <w:autoSpaceDN w:val="0"/>
              <w:adjustRightInd w:val="0"/>
              <w:spacing w:line="240" w:lineRule="atLeast"/>
              <w:ind w:right="678"/>
              <w:textAlignment w:val="baseline"/>
              <w:outlineLvl w:val="3"/>
              <w:rPr>
                <w:rFonts w:cs="Arial"/>
                <w:b/>
                <w:sz w:val="18"/>
                <w:szCs w:val="18"/>
                <w:lang w:val="sl-SI" w:eastAsia="sl-SI"/>
              </w:rPr>
            </w:pPr>
            <w:r w:rsidRPr="0096552E">
              <w:rPr>
                <w:rFonts w:cs="Arial"/>
                <w:b/>
                <w:bCs/>
                <w:sz w:val="18"/>
                <w:szCs w:val="18"/>
                <w:lang w:val="sl-SI" w:eastAsia="sl-SI"/>
              </w:rPr>
              <w:t>Ukrep</w:t>
            </w:r>
          </w:p>
        </w:tc>
        <w:tc>
          <w:tcPr>
            <w:tcW w:w="1418" w:type="dxa"/>
          </w:tcPr>
          <w:p w14:paraId="1D9B1EA1" w14:textId="77777777" w:rsidR="0096552E" w:rsidRPr="0096552E" w:rsidRDefault="0096552E" w:rsidP="0096552E">
            <w:pPr>
              <w:overflowPunct w:val="0"/>
              <w:autoSpaceDE w:val="0"/>
              <w:autoSpaceDN w:val="0"/>
              <w:adjustRightInd w:val="0"/>
              <w:spacing w:line="240" w:lineRule="atLeast"/>
              <w:jc w:val="right"/>
              <w:textAlignment w:val="baseline"/>
              <w:rPr>
                <w:rFonts w:cs="Arial"/>
                <w:sz w:val="18"/>
                <w:szCs w:val="18"/>
                <w:lang w:val="sl-SI" w:eastAsia="sl-SI"/>
              </w:rPr>
            </w:pPr>
            <w:r w:rsidRPr="0096552E">
              <w:rPr>
                <w:rFonts w:cs="Arial"/>
                <w:b/>
                <w:bCs/>
                <w:sz w:val="18"/>
                <w:szCs w:val="18"/>
                <w:lang w:val="sl-SI" w:eastAsia="sl-SI"/>
              </w:rPr>
              <w:t>2024</w:t>
            </w:r>
          </w:p>
        </w:tc>
        <w:tc>
          <w:tcPr>
            <w:tcW w:w="1526" w:type="dxa"/>
          </w:tcPr>
          <w:p w14:paraId="62F2BD56" w14:textId="77777777" w:rsidR="0096552E" w:rsidRPr="0096552E" w:rsidRDefault="0096552E" w:rsidP="0096552E">
            <w:pPr>
              <w:overflowPunct w:val="0"/>
              <w:autoSpaceDE w:val="0"/>
              <w:autoSpaceDN w:val="0"/>
              <w:adjustRightInd w:val="0"/>
              <w:spacing w:line="240" w:lineRule="atLeast"/>
              <w:jc w:val="right"/>
              <w:textAlignment w:val="baseline"/>
              <w:rPr>
                <w:rFonts w:cs="Arial"/>
                <w:sz w:val="18"/>
                <w:szCs w:val="18"/>
                <w:lang w:val="sl-SI" w:eastAsia="sl-SI"/>
              </w:rPr>
            </w:pPr>
            <w:r w:rsidRPr="0096552E">
              <w:rPr>
                <w:rFonts w:cs="Arial"/>
                <w:b/>
                <w:bCs/>
                <w:sz w:val="18"/>
                <w:szCs w:val="18"/>
                <w:lang w:val="sl-SI" w:eastAsia="sl-SI"/>
              </w:rPr>
              <w:t>2025</w:t>
            </w:r>
          </w:p>
        </w:tc>
        <w:tc>
          <w:tcPr>
            <w:tcW w:w="1309" w:type="dxa"/>
          </w:tcPr>
          <w:p w14:paraId="15566496" w14:textId="77777777" w:rsidR="0096552E" w:rsidRPr="0096552E" w:rsidRDefault="0096552E" w:rsidP="0096552E">
            <w:pPr>
              <w:overflowPunct w:val="0"/>
              <w:autoSpaceDE w:val="0"/>
              <w:autoSpaceDN w:val="0"/>
              <w:adjustRightInd w:val="0"/>
              <w:spacing w:line="240" w:lineRule="atLeast"/>
              <w:jc w:val="right"/>
              <w:textAlignment w:val="baseline"/>
              <w:rPr>
                <w:rFonts w:cs="Arial"/>
                <w:sz w:val="18"/>
                <w:szCs w:val="18"/>
                <w:lang w:val="sl-SI" w:eastAsia="sl-SI"/>
              </w:rPr>
            </w:pPr>
            <w:r w:rsidRPr="0096552E">
              <w:rPr>
                <w:rFonts w:cs="Arial"/>
                <w:b/>
                <w:bCs/>
                <w:sz w:val="18"/>
                <w:szCs w:val="18"/>
                <w:lang w:val="sl-SI" w:eastAsia="sl-SI"/>
              </w:rPr>
              <w:t>2026</w:t>
            </w:r>
          </w:p>
        </w:tc>
        <w:tc>
          <w:tcPr>
            <w:tcW w:w="1419" w:type="dxa"/>
          </w:tcPr>
          <w:p w14:paraId="2E5D87E3" w14:textId="77777777" w:rsidR="0096552E" w:rsidRPr="0096552E" w:rsidRDefault="0096552E" w:rsidP="0096552E">
            <w:pPr>
              <w:overflowPunct w:val="0"/>
              <w:autoSpaceDE w:val="0"/>
              <w:autoSpaceDN w:val="0"/>
              <w:adjustRightInd w:val="0"/>
              <w:spacing w:line="240" w:lineRule="atLeast"/>
              <w:jc w:val="right"/>
              <w:textAlignment w:val="baseline"/>
              <w:rPr>
                <w:rFonts w:cs="Arial"/>
                <w:sz w:val="18"/>
                <w:szCs w:val="18"/>
                <w:lang w:val="sl-SI" w:eastAsia="sl-SI"/>
              </w:rPr>
            </w:pPr>
            <w:r w:rsidRPr="0096552E">
              <w:rPr>
                <w:rFonts w:cs="Arial"/>
                <w:b/>
                <w:bCs/>
                <w:sz w:val="18"/>
                <w:szCs w:val="18"/>
                <w:lang w:val="sl-SI" w:eastAsia="sl-SI"/>
              </w:rPr>
              <w:t>2027</w:t>
            </w:r>
          </w:p>
        </w:tc>
      </w:tr>
      <w:tr w:rsidR="0096552E" w:rsidRPr="0096552E" w14:paraId="3865AB6C" w14:textId="77777777" w:rsidTr="00E557A0">
        <w:tc>
          <w:tcPr>
            <w:tcW w:w="3288" w:type="dxa"/>
            <w:vAlign w:val="center"/>
          </w:tcPr>
          <w:p w14:paraId="1DF65DF5" w14:textId="77777777" w:rsidR="0096552E" w:rsidRPr="0096552E" w:rsidRDefault="0096552E" w:rsidP="0096552E">
            <w:pPr>
              <w:suppressAutoHyphens/>
              <w:overflowPunct w:val="0"/>
              <w:autoSpaceDE w:val="0"/>
              <w:autoSpaceDN w:val="0"/>
              <w:adjustRightInd w:val="0"/>
              <w:spacing w:line="240" w:lineRule="atLeast"/>
              <w:textAlignment w:val="baseline"/>
              <w:outlineLvl w:val="3"/>
              <w:rPr>
                <w:rFonts w:cs="Arial"/>
                <w:bCs/>
                <w:sz w:val="18"/>
                <w:szCs w:val="18"/>
                <w:lang w:val="sl-SI" w:eastAsia="sl-SI"/>
              </w:rPr>
            </w:pPr>
            <w:r w:rsidRPr="0096552E">
              <w:rPr>
                <w:rFonts w:cs="Arial"/>
                <w:bCs/>
                <w:sz w:val="18"/>
                <w:szCs w:val="18"/>
                <w:lang w:val="sl-SI" w:eastAsia="sl-SI"/>
              </w:rPr>
              <w:t>Aplikativna podpora delovanju varnega okolja in prenosu podatkov</w:t>
            </w:r>
          </w:p>
          <w:p w14:paraId="0F7F4577" w14:textId="77777777" w:rsidR="0096552E" w:rsidRPr="0096552E" w:rsidRDefault="0096552E" w:rsidP="0096552E">
            <w:pPr>
              <w:suppressAutoHyphens/>
              <w:overflowPunct w:val="0"/>
              <w:autoSpaceDE w:val="0"/>
              <w:autoSpaceDN w:val="0"/>
              <w:adjustRightInd w:val="0"/>
              <w:spacing w:line="240" w:lineRule="atLeast"/>
              <w:textAlignment w:val="baseline"/>
              <w:outlineLvl w:val="3"/>
              <w:rPr>
                <w:rFonts w:cs="Arial"/>
                <w:bCs/>
                <w:sz w:val="16"/>
                <w:szCs w:val="16"/>
                <w:lang w:val="sl-SI" w:eastAsia="sl-SI"/>
              </w:rPr>
            </w:pPr>
            <w:r w:rsidRPr="0096552E">
              <w:rPr>
                <w:rFonts w:cs="Arial"/>
                <w:bCs/>
                <w:sz w:val="18"/>
                <w:szCs w:val="18"/>
                <w:lang w:val="sl-SI" w:eastAsia="sl-SI"/>
              </w:rPr>
              <w:t>1x Sekretar (PR 46-56)</w:t>
            </w:r>
          </w:p>
        </w:tc>
        <w:tc>
          <w:tcPr>
            <w:tcW w:w="1418" w:type="dxa"/>
            <w:vMerge w:val="restart"/>
            <w:vAlign w:val="center"/>
          </w:tcPr>
          <w:p w14:paraId="2098A852" w14:textId="77777777" w:rsidR="0096552E" w:rsidRPr="0096552E" w:rsidRDefault="0096552E" w:rsidP="0096552E">
            <w:pPr>
              <w:overflowPunct w:val="0"/>
              <w:autoSpaceDE w:val="0"/>
              <w:autoSpaceDN w:val="0"/>
              <w:adjustRightInd w:val="0"/>
              <w:spacing w:line="240" w:lineRule="atLeast"/>
              <w:jc w:val="right"/>
              <w:textAlignment w:val="baseline"/>
              <w:rPr>
                <w:rFonts w:cs="Arial"/>
                <w:sz w:val="18"/>
                <w:szCs w:val="18"/>
                <w:lang w:val="sl-SI" w:eastAsia="sl-SI"/>
              </w:rPr>
            </w:pPr>
            <w:r w:rsidRPr="0096552E">
              <w:rPr>
                <w:rFonts w:cs="Arial"/>
                <w:sz w:val="18"/>
                <w:szCs w:val="18"/>
                <w:lang w:val="sl-SI" w:eastAsia="sl-SI"/>
              </w:rPr>
              <w:t>0 EUR</w:t>
            </w:r>
          </w:p>
        </w:tc>
        <w:tc>
          <w:tcPr>
            <w:tcW w:w="1526" w:type="dxa"/>
            <w:vMerge w:val="restart"/>
            <w:vAlign w:val="center"/>
          </w:tcPr>
          <w:p w14:paraId="1B7E0D36" w14:textId="77777777" w:rsidR="0096552E" w:rsidRPr="0096552E" w:rsidRDefault="0096552E" w:rsidP="0096552E">
            <w:pPr>
              <w:overflowPunct w:val="0"/>
              <w:autoSpaceDE w:val="0"/>
              <w:autoSpaceDN w:val="0"/>
              <w:adjustRightInd w:val="0"/>
              <w:spacing w:line="240" w:lineRule="atLeast"/>
              <w:jc w:val="right"/>
              <w:textAlignment w:val="baseline"/>
              <w:rPr>
                <w:rFonts w:cs="Arial"/>
                <w:sz w:val="18"/>
                <w:szCs w:val="18"/>
                <w:lang w:val="sl-SI" w:eastAsia="sl-SI"/>
              </w:rPr>
            </w:pPr>
            <w:r w:rsidRPr="0096552E">
              <w:rPr>
                <w:rFonts w:cs="Arial"/>
                <w:sz w:val="18"/>
                <w:szCs w:val="18"/>
                <w:lang w:val="sl-SI" w:eastAsia="sl-SI"/>
              </w:rPr>
              <w:t>38.711 EUR</w:t>
            </w:r>
          </w:p>
        </w:tc>
        <w:tc>
          <w:tcPr>
            <w:tcW w:w="1309" w:type="dxa"/>
            <w:vMerge w:val="restart"/>
            <w:vAlign w:val="center"/>
          </w:tcPr>
          <w:p w14:paraId="4DCD85AA" w14:textId="77777777" w:rsidR="0096552E" w:rsidRPr="0096552E" w:rsidRDefault="0096552E" w:rsidP="0096552E">
            <w:pPr>
              <w:overflowPunct w:val="0"/>
              <w:autoSpaceDE w:val="0"/>
              <w:autoSpaceDN w:val="0"/>
              <w:adjustRightInd w:val="0"/>
              <w:spacing w:line="240" w:lineRule="atLeast"/>
              <w:jc w:val="right"/>
              <w:textAlignment w:val="baseline"/>
              <w:rPr>
                <w:rFonts w:cs="Arial"/>
                <w:sz w:val="18"/>
                <w:szCs w:val="18"/>
                <w:lang w:val="sl-SI" w:eastAsia="sl-SI"/>
              </w:rPr>
            </w:pPr>
            <w:r w:rsidRPr="0096552E">
              <w:rPr>
                <w:rFonts w:cs="Arial"/>
                <w:sz w:val="18"/>
                <w:szCs w:val="18"/>
                <w:lang w:val="sl-SI" w:eastAsia="sl-SI"/>
              </w:rPr>
              <w:t>46.454 EUR</w:t>
            </w:r>
          </w:p>
        </w:tc>
        <w:tc>
          <w:tcPr>
            <w:tcW w:w="1419" w:type="dxa"/>
            <w:vMerge w:val="restart"/>
            <w:vAlign w:val="center"/>
          </w:tcPr>
          <w:p w14:paraId="608DBBAC" w14:textId="77777777" w:rsidR="0096552E" w:rsidRPr="0096552E" w:rsidRDefault="0096552E" w:rsidP="0096552E">
            <w:pPr>
              <w:overflowPunct w:val="0"/>
              <w:autoSpaceDE w:val="0"/>
              <w:autoSpaceDN w:val="0"/>
              <w:adjustRightInd w:val="0"/>
              <w:spacing w:line="240" w:lineRule="atLeast"/>
              <w:jc w:val="right"/>
              <w:textAlignment w:val="baseline"/>
              <w:rPr>
                <w:rFonts w:cs="Arial"/>
                <w:sz w:val="18"/>
                <w:szCs w:val="18"/>
                <w:lang w:val="sl-SI" w:eastAsia="sl-SI"/>
              </w:rPr>
            </w:pPr>
            <w:r w:rsidRPr="0096552E">
              <w:rPr>
                <w:rFonts w:cs="Arial"/>
                <w:sz w:val="18"/>
                <w:szCs w:val="18"/>
                <w:lang w:val="sl-SI" w:eastAsia="sl-SI"/>
              </w:rPr>
              <w:t>46.454 EUR</w:t>
            </w:r>
          </w:p>
        </w:tc>
      </w:tr>
      <w:tr w:rsidR="0096552E" w:rsidRPr="0096552E" w14:paraId="17B5F146" w14:textId="77777777" w:rsidTr="00E557A0">
        <w:tc>
          <w:tcPr>
            <w:tcW w:w="3288" w:type="dxa"/>
            <w:vAlign w:val="center"/>
          </w:tcPr>
          <w:p w14:paraId="2F6E2454" w14:textId="77777777" w:rsidR="0096552E" w:rsidRPr="0096552E" w:rsidRDefault="0096552E" w:rsidP="0096552E">
            <w:pPr>
              <w:suppressAutoHyphens/>
              <w:overflowPunct w:val="0"/>
              <w:autoSpaceDE w:val="0"/>
              <w:autoSpaceDN w:val="0"/>
              <w:adjustRightInd w:val="0"/>
              <w:spacing w:line="240" w:lineRule="atLeast"/>
              <w:textAlignment w:val="baseline"/>
              <w:outlineLvl w:val="3"/>
              <w:rPr>
                <w:rFonts w:cs="Arial"/>
                <w:bCs/>
                <w:sz w:val="18"/>
                <w:szCs w:val="18"/>
                <w:lang w:val="sl-SI" w:eastAsia="sl-SI"/>
              </w:rPr>
            </w:pPr>
            <w:r w:rsidRPr="0096552E">
              <w:rPr>
                <w:rFonts w:cs="Arial"/>
                <w:bCs/>
                <w:sz w:val="18"/>
                <w:szCs w:val="18"/>
                <w:lang w:val="sl-SI" w:eastAsia="sl-SI"/>
              </w:rPr>
              <w:t>Aplikativna podpora glede strukturiranja in hrambe podatkov ter zagotavljanje smernic</w:t>
            </w:r>
          </w:p>
        </w:tc>
        <w:tc>
          <w:tcPr>
            <w:tcW w:w="1418" w:type="dxa"/>
            <w:vMerge/>
            <w:vAlign w:val="center"/>
          </w:tcPr>
          <w:p w14:paraId="2F74790B" w14:textId="77777777" w:rsidR="0096552E" w:rsidRPr="0096552E" w:rsidRDefault="0096552E" w:rsidP="0096552E">
            <w:pPr>
              <w:overflowPunct w:val="0"/>
              <w:autoSpaceDE w:val="0"/>
              <w:autoSpaceDN w:val="0"/>
              <w:adjustRightInd w:val="0"/>
              <w:spacing w:line="240" w:lineRule="atLeast"/>
              <w:ind w:left="-284"/>
              <w:jc w:val="right"/>
              <w:textAlignment w:val="baseline"/>
              <w:rPr>
                <w:rFonts w:cs="Arial"/>
                <w:sz w:val="18"/>
                <w:szCs w:val="18"/>
                <w:highlight w:val="yellow"/>
                <w:lang w:val="sl-SI" w:eastAsia="sl-SI"/>
              </w:rPr>
            </w:pPr>
          </w:p>
        </w:tc>
        <w:tc>
          <w:tcPr>
            <w:tcW w:w="1526" w:type="dxa"/>
            <w:vMerge/>
            <w:vAlign w:val="center"/>
          </w:tcPr>
          <w:p w14:paraId="22545C43" w14:textId="77777777" w:rsidR="0096552E" w:rsidRPr="0096552E" w:rsidRDefault="0096552E" w:rsidP="0096552E">
            <w:pPr>
              <w:overflowPunct w:val="0"/>
              <w:autoSpaceDE w:val="0"/>
              <w:autoSpaceDN w:val="0"/>
              <w:adjustRightInd w:val="0"/>
              <w:spacing w:line="240" w:lineRule="atLeast"/>
              <w:ind w:left="-284"/>
              <w:jc w:val="right"/>
              <w:textAlignment w:val="baseline"/>
              <w:rPr>
                <w:rFonts w:cs="Arial"/>
                <w:sz w:val="18"/>
                <w:szCs w:val="18"/>
                <w:highlight w:val="yellow"/>
                <w:lang w:val="sl-SI" w:eastAsia="sl-SI"/>
              </w:rPr>
            </w:pPr>
          </w:p>
        </w:tc>
        <w:tc>
          <w:tcPr>
            <w:tcW w:w="1309" w:type="dxa"/>
            <w:vMerge/>
            <w:vAlign w:val="center"/>
          </w:tcPr>
          <w:p w14:paraId="196431D6" w14:textId="77777777" w:rsidR="0096552E" w:rsidRPr="0096552E" w:rsidRDefault="0096552E" w:rsidP="0096552E">
            <w:pPr>
              <w:overflowPunct w:val="0"/>
              <w:autoSpaceDE w:val="0"/>
              <w:autoSpaceDN w:val="0"/>
              <w:adjustRightInd w:val="0"/>
              <w:spacing w:line="240" w:lineRule="atLeast"/>
              <w:ind w:left="-284"/>
              <w:jc w:val="right"/>
              <w:textAlignment w:val="baseline"/>
              <w:rPr>
                <w:rFonts w:cs="Arial"/>
                <w:sz w:val="18"/>
                <w:szCs w:val="18"/>
                <w:highlight w:val="yellow"/>
                <w:lang w:val="sl-SI" w:eastAsia="sl-SI"/>
              </w:rPr>
            </w:pPr>
          </w:p>
        </w:tc>
        <w:tc>
          <w:tcPr>
            <w:tcW w:w="1419" w:type="dxa"/>
            <w:vMerge/>
            <w:vAlign w:val="center"/>
          </w:tcPr>
          <w:p w14:paraId="33D89AC3" w14:textId="77777777" w:rsidR="0096552E" w:rsidRPr="0096552E" w:rsidRDefault="0096552E" w:rsidP="0096552E">
            <w:pPr>
              <w:overflowPunct w:val="0"/>
              <w:autoSpaceDE w:val="0"/>
              <w:autoSpaceDN w:val="0"/>
              <w:adjustRightInd w:val="0"/>
              <w:spacing w:line="240" w:lineRule="atLeast"/>
              <w:ind w:left="-284"/>
              <w:jc w:val="right"/>
              <w:textAlignment w:val="baseline"/>
              <w:rPr>
                <w:rFonts w:cs="Arial"/>
                <w:sz w:val="18"/>
                <w:szCs w:val="18"/>
                <w:highlight w:val="yellow"/>
                <w:lang w:val="sl-SI" w:eastAsia="sl-SI"/>
              </w:rPr>
            </w:pPr>
          </w:p>
        </w:tc>
      </w:tr>
      <w:tr w:rsidR="0096552E" w:rsidRPr="0096552E" w14:paraId="70CE753B" w14:textId="77777777" w:rsidTr="00E557A0">
        <w:tc>
          <w:tcPr>
            <w:tcW w:w="3288" w:type="dxa"/>
            <w:vAlign w:val="center"/>
          </w:tcPr>
          <w:p w14:paraId="39F5DA61" w14:textId="77777777" w:rsidR="0096552E" w:rsidRPr="0096552E" w:rsidRDefault="0096552E" w:rsidP="0096552E">
            <w:pPr>
              <w:suppressAutoHyphens/>
              <w:overflowPunct w:val="0"/>
              <w:autoSpaceDE w:val="0"/>
              <w:autoSpaceDN w:val="0"/>
              <w:adjustRightInd w:val="0"/>
              <w:spacing w:line="240" w:lineRule="atLeast"/>
              <w:textAlignment w:val="baseline"/>
              <w:outlineLvl w:val="3"/>
              <w:rPr>
                <w:rFonts w:cs="Arial"/>
                <w:bCs/>
                <w:sz w:val="18"/>
                <w:szCs w:val="18"/>
                <w:lang w:val="sl-SI" w:eastAsia="sl-SI"/>
              </w:rPr>
            </w:pPr>
            <w:r w:rsidRPr="0096552E">
              <w:rPr>
                <w:rFonts w:cs="Arial"/>
                <w:bCs/>
                <w:sz w:val="18"/>
                <w:szCs w:val="18"/>
                <w:lang w:val="sl-SI" w:eastAsia="sl-SI"/>
              </w:rPr>
              <w:t>Aplikativna podpora pri psevdonimizaciji in zagotavljanje varne in zaupne obdelave podatkov</w:t>
            </w:r>
          </w:p>
        </w:tc>
        <w:tc>
          <w:tcPr>
            <w:tcW w:w="1418" w:type="dxa"/>
            <w:vMerge/>
            <w:vAlign w:val="center"/>
          </w:tcPr>
          <w:p w14:paraId="27C78DD0" w14:textId="77777777" w:rsidR="0096552E" w:rsidRPr="0096552E" w:rsidRDefault="0096552E" w:rsidP="0096552E">
            <w:pPr>
              <w:overflowPunct w:val="0"/>
              <w:autoSpaceDE w:val="0"/>
              <w:autoSpaceDN w:val="0"/>
              <w:adjustRightInd w:val="0"/>
              <w:spacing w:line="240" w:lineRule="atLeast"/>
              <w:jc w:val="right"/>
              <w:textAlignment w:val="baseline"/>
              <w:rPr>
                <w:rFonts w:cs="Arial"/>
                <w:sz w:val="18"/>
                <w:szCs w:val="18"/>
                <w:highlight w:val="yellow"/>
                <w:lang w:val="sl-SI" w:eastAsia="sl-SI"/>
              </w:rPr>
            </w:pPr>
          </w:p>
        </w:tc>
        <w:tc>
          <w:tcPr>
            <w:tcW w:w="1526" w:type="dxa"/>
            <w:vMerge/>
            <w:vAlign w:val="center"/>
          </w:tcPr>
          <w:p w14:paraId="2D981E7C" w14:textId="77777777" w:rsidR="0096552E" w:rsidRPr="0096552E" w:rsidRDefault="0096552E" w:rsidP="0096552E">
            <w:pPr>
              <w:overflowPunct w:val="0"/>
              <w:autoSpaceDE w:val="0"/>
              <w:autoSpaceDN w:val="0"/>
              <w:adjustRightInd w:val="0"/>
              <w:spacing w:line="240" w:lineRule="atLeast"/>
              <w:jc w:val="right"/>
              <w:textAlignment w:val="baseline"/>
              <w:rPr>
                <w:rFonts w:cs="Arial"/>
                <w:sz w:val="18"/>
                <w:szCs w:val="18"/>
                <w:highlight w:val="yellow"/>
                <w:lang w:val="sl-SI" w:eastAsia="sl-SI"/>
              </w:rPr>
            </w:pPr>
          </w:p>
        </w:tc>
        <w:tc>
          <w:tcPr>
            <w:tcW w:w="1309" w:type="dxa"/>
            <w:vMerge/>
            <w:vAlign w:val="center"/>
          </w:tcPr>
          <w:p w14:paraId="3FD63E2F" w14:textId="77777777" w:rsidR="0096552E" w:rsidRPr="0096552E" w:rsidRDefault="0096552E" w:rsidP="0096552E">
            <w:pPr>
              <w:overflowPunct w:val="0"/>
              <w:autoSpaceDE w:val="0"/>
              <w:autoSpaceDN w:val="0"/>
              <w:adjustRightInd w:val="0"/>
              <w:spacing w:line="240" w:lineRule="atLeast"/>
              <w:jc w:val="right"/>
              <w:textAlignment w:val="baseline"/>
              <w:rPr>
                <w:rFonts w:cs="Arial"/>
                <w:sz w:val="18"/>
                <w:szCs w:val="18"/>
                <w:highlight w:val="yellow"/>
                <w:lang w:val="sl-SI" w:eastAsia="sl-SI"/>
              </w:rPr>
            </w:pPr>
          </w:p>
        </w:tc>
        <w:tc>
          <w:tcPr>
            <w:tcW w:w="1419" w:type="dxa"/>
            <w:vMerge/>
            <w:vAlign w:val="center"/>
          </w:tcPr>
          <w:p w14:paraId="191C6153" w14:textId="77777777" w:rsidR="0096552E" w:rsidRPr="0096552E" w:rsidRDefault="0096552E" w:rsidP="0096552E">
            <w:pPr>
              <w:overflowPunct w:val="0"/>
              <w:autoSpaceDE w:val="0"/>
              <w:autoSpaceDN w:val="0"/>
              <w:adjustRightInd w:val="0"/>
              <w:spacing w:line="240" w:lineRule="atLeast"/>
              <w:jc w:val="right"/>
              <w:textAlignment w:val="baseline"/>
              <w:rPr>
                <w:rFonts w:cs="Arial"/>
                <w:sz w:val="18"/>
                <w:szCs w:val="18"/>
                <w:highlight w:val="yellow"/>
                <w:lang w:val="sl-SI" w:eastAsia="sl-SI"/>
              </w:rPr>
            </w:pPr>
          </w:p>
        </w:tc>
      </w:tr>
      <w:tr w:rsidR="0096552E" w:rsidRPr="0096552E" w14:paraId="1C0D9548" w14:textId="77777777" w:rsidTr="00E557A0">
        <w:tc>
          <w:tcPr>
            <w:tcW w:w="3288" w:type="dxa"/>
          </w:tcPr>
          <w:p w14:paraId="3B744E99" w14:textId="77777777" w:rsidR="0096552E" w:rsidRPr="0096552E" w:rsidRDefault="0096552E" w:rsidP="0096552E">
            <w:pPr>
              <w:suppressAutoHyphens/>
              <w:overflowPunct w:val="0"/>
              <w:autoSpaceDE w:val="0"/>
              <w:autoSpaceDN w:val="0"/>
              <w:adjustRightInd w:val="0"/>
              <w:spacing w:line="240" w:lineRule="atLeast"/>
              <w:ind w:right="678"/>
              <w:textAlignment w:val="baseline"/>
              <w:outlineLvl w:val="3"/>
              <w:rPr>
                <w:rFonts w:cs="Arial"/>
                <w:b/>
                <w:sz w:val="18"/>
                <w:szCs w:val="18"/>
                <w:highlight w:val="yellow"/>
                <w:lang w:val="sl-SI" w:eastAsia="sl-SI"/>
              </w:rPr>
            </w:pPr>
            <w:r w:rsidRPr="0096552E">
              <w:rPr>
                <w:rFonts w:cs="Arial"/>
                <w:b/>
                <w:bCs/>
                <w:sz w:val="18"/>
                <w:szCs w:val="18"/>
                <w:lang w:val="sl-SI" w:eastAsia="sl-SI"/>
              </w:rPr>
              <w:t>SKUPAJ</w:t>
            </w:r>
          </w:p>
        </w:tc>
        <w:tc>
          <w:tcPr>
            <w:tcW w:w="1418" w:type="dxa"/>
            <w:vAlign w:val="center"/>
          </w:tcPr>
          <w:p w14:paraId="77F8084A" w14:textId="77777777" w:rsidR="0096552E" w:rsidRPr="0096552E" w:rsidRDefault="0096552E" w:rsidP="0096552E">
            <w:pPr>
              <w:overflowPunct w:val="0"/>
              <w:autoSpaceDE w:val="0"/>
              <w:autoSpaceDN w:val="0"/>
              <w:adjustRightInd w:val="0"/>
              <w:spacing w:line="240" w:lineRule="atLeast"/>
              <w:jc w:val="right"/>
              <w:textAlignment w:val="baseline"/>
              <w:rPr>
                <w:rFonts w:cs="Arial"/>
                <w:b/>
                <w:bCs/>
                <w:sz w:val="18"/>
                <w:szCs w:val="18"/>
                <w:highlight w:val="yellow"/>
                <w:lang w:val="sl-SI" w:eastAsia="sl-SI"/>
              </w:rPr>
            </w:pPr>
            <w:r w:rsidRPr="0096552E">
              <w:rPr>
                <w:rFonts w:cs="Arial"/>
                <w:b/>
                <w:bCs/>
                <w:sz w:val="18"/>
                <w:szCs w:val="18"/>
                <w:lang w:val="sl-SI" w:eastAsia="sl-SI"/>
              </w:rPr>
              <w:t>0 EUR</w:t>
            </w:r>
          </w:p>
        </w:tc>
        <w:tc>
          <w:tcPr>
            <w:tcW w:w="1526" w:type="dxa"/>
            <w:vAlign w:val="center"/>
          </w:tcPr>
          <w:p w14:paraId="0162EE61" w14:textId="77777777" w:rsidR="0096552E" w:rsidRPr="0096552E" w:rsidRDefault="0096552E" w:rsidP="0096552E">
            <w:pPr>
              <w:overflowPunct w:val="0"/>
              <w:autoSpaceDE w:val="0"/>
              <w:autoSpaceDN w:val="0"/>
              <w:adjustRightInd w:val="0"/>
              <w:spacing w:line="240" w:lineRule="atLeast"/>
              <w:jc w:val="right"/>
              <w:textAlignment w:val="baseline"/>
              <w:rPr>
                <w:rFonts w:cs="Arial"/>
                <w:b/>
                <w:bCs/>
                <w:sz w:val="18"/>
                <w:szCs w:val="18"/>
                <w:highlight w:val="yellow"/>
                <w:lang w:val="sl-SI" w:eastAsia="sl-SI"/>
              </w:rPr>
            </w:pPr>
            <w:r w:rsidRPr="0096552E">
              <w:rPr>
                <w:rFonts w:cs="Arial"/>
                <w:b/>
                <w:bCs/>
                <w:sz w:val="18"/>
                <w:szCs w:val="18"/>
                <w:lang w:val="sl-SI" w:eastAsia="sl-SI"/>
              </w:rPr>
              <w:t>613.711 EUR</w:t>
            </w:r>
          </w:p>
        </w:tc>
        <w:tc>
          <w:tcPr>
            <w:tcW w:w="1309" w:type="dxa"/>
            <w:vAlign w:val="center"/>
          </w:tcPr>
          <w:p w14:paraId="4B5FBD81" w14:textId="77777777" w:rsidR="0096552E" w:rsidRPr="0096552E" w:rsidRDefault="0096552E" w:rsidP="0096552E">
            <w:pPr>
              <w:overflowPunct w:val="0"/>
              <w:autoSpaceDE w:val="0"/>
              <w:autoSpaceDN w:val="0"/>
              <w:adjustRightInd w:val="0"/>
              <w:spacing w:line="240" w:lineRule="atLeast"/>
              <w:jc w:val="right"/>
              <w:textAlignment w:val="baseline"/>
              <w:rPr>
                <w:rFonts w:cs="Arial"/>
                <w:b/>
                <w:bCs/>
                <w:sz w:val="18"/>
                <w:szCs w:val="18"/>
                <w:highlight w:val="yellow"/>
                <w:lang w:val="sl-SI" w:eastAsia="sl-SI"/>
              </w:rPr>
            </w:pPr>
            <w:r w:rsidRPr="0096552E">
              <w:rPr>
                <w:rFonts w:cs="Arial"/>
                <w:b/>
                <w:bCs/>
                <w:sz w:val="18"/>
                <w:szCs w:val="18"/>
                <w:lang w:val="sl-SI" w:eastAsia="sl-SI"/>
              </w:rPr>
              <w:t>586.454 EUR</w:t>
            </w:r>
          </w:p>
        </w:tc>
        <w:tc>
          <w:tcPr>
            <w:tcW w:w="1419" w:type="dxa"/>
            <w:vAlign w:val="center"/>
          </w:tcPr>
          <w:p w14:paraId="32F5D588" w14:textId="77777777" w:rsidR="0096552E" w:rsidRPr="0096552E" w:rsidRDefault="0096552E" w:rsidP="0096552E">
            <w:pPr>
              <w:overflowPunct w:val="0"/>
              <w:autoSpaceDE w:val="0"/>
              <w:autoSpaceDN w:val="0"/>
              <w:adjustRightInd w:val="0"/>
              <w:spacing w:line="240" w:lineRule="atLeast"/>
              <w:jc w:val="right"/>
              <w:textAlignment w:val="baseline"/>
              <w:rPr>
                <w:rFonts w:cs="Arial"/>
                <w:b/>
                <w:bCs/>
                <w:sz w:val="18"/>
                <w:szCs w:val="18"/>
                <w:highlight w:val="yellow"/>
                <w:lang w:val="sl-SI" w:eastAsia="sl-SI"/>
              </w:rPr>
            </w:pPr>
            <w:r w:rsidRPr="0096552E">
              <w:rPr>
                <w:rFonts w:cs="Arial"/>
                <w:b/>
                <w:bCs/>
                <w:sz w:val="18"/>
                <w:szCs w:val="18"/>
                <w:lang w:val="sl-SI" w:eastAsia="sl-SI"/>
              </w:rPr>
              <w:t>551.454 EUR</w:t>
            </w:r>
          </w:p>
        </w:tc>
      </w:tr>
    </w:tbl>
    <w:p w14:paraId="16EA8372" w14:textId="77777777" w:rsidR="0096552E" w:rsidRPr="0096552E" w:rsidRDefault="0096552E" w:rsidP="0096552E">
      <w:pPr>
        <w:widowControl w:val="0"/>
        <w:spacing w:line="240" w:lineRule="atLeast"/>
        <w:jc w:val="both"/>
        <w:rPr>
          <w:rFonts w:cs="Arial"/>
          <w:lang w:val="sl-SI" w:eastAsia="sl-SI"/>
        </w:rPr>
      </w:pPr>
    </w:p>
    <w:p w14:paraId="08A338BD" w14:textId="77777777" w:rsidR="001B49A1" w:rsidRPr="001B49A1" w:rsidRDefault="001B49A1" w:rsidP="00694DC1">
      <w:pPr>
        <w:spacing w:line="240" w:lineRule="atLeast"/>
        <w:jc w:val="both"/>
        <w:rPr>
          <w:bCs/>
          <w:szCs w:val="20"/>
          <w:lang w:val="sl-SI"/>
        </w:rPr>
      </w:pPr>
    </w:p>
    <w:p w14:paraId="23BEF87E" w14:textId="3EBA0C26" w:rsidR="00AF5D29" w:rsidRDefault="00AF5D29" w:rsidP="00694DC1">
      <w:pPr>
        <w:spacing w:line="240" w:lineRule="atLeast"/>
        <w:jc w:val="both"/>
        <w:rPr>
          <w:b/>
          <w:szCs w:val="20"/>
          <w:lang w:val="sl-SI"/>
        </w:rPr>
      </w:pPr>
      <w:r w:rsidRPr="009564C3">
        <w:rPr>
          <w:b/>
          <w:szCs w:val="20"/>
          <w:lang w:val="sl-SI"/>
        </w:rPr>
        <w:t>4. NAVEDBA, DA SO SREDSTVA ZA IZVAJANJE ZAKONA V DRŽAVNEM PRORAČUNU ZAGOTOVLJENA, ČE PREDLOG ZAKONA PREDVIDEVA PORABO PRORAČUNSKIH SREDSTEV V OBDOBJU, ZA KATERO JE BIL DRŽAVNI PRORAČUN ŽE SPREJET</w:t>
      </w:r>
    </w:p>
    <w:p w14:paraId="7885DBA9" w14:textId="77DEB5CB" w:rsidR="00EF4854" w:rsidRPr="00EF4854" w:rsidRDefault="00EF4854" w:rsidP="00EF4854">
      <w:pPr>
        <w:pStyle w:val="Oddelek"/>
        <w:numPr>
          <w:ilvl w:val="0"/>
          <w:numId w:val="0"/>
        </w:numPr>
        <w:spacing w:line="240" w:lineRule="atLeast"/>
        <w:ind w:left="720" w:right="-7" w:hanging="720"/>
        <w:jc w:val="both"/>
        <w:rPr>
          <w:b w:val="0"/>
          <w:bCs/>
          <w:sz w:val="20"/>
          <w:szCs w:val="20"/>
        </w:rPr>
      </w:pPr>
      <w:bookmarkStart w:id="0" w:name="_Hlk57640224"/>
      <w:r w:rsidRPr="00EF4854">
        <w:rPr>
          <w:b w:val="0"/>
          <w:bCs/>
          <w:sz w:val="20"/>
          <w:szCs w:val="20"/>
        </w:rPr>
        <w:t>–</w:t>
      </w:r>
      <w:r w:rsidRPr="00EF4854">
        <w:rPr>
          <w:b w:val="0"/>
          <w:bCs/>
          <w:sz w:val="20"/>
          <w:szCs w:val="20"/>
        </w:rPr>
        <w:tab/>
        <w:t xml:space="preserve">V sprejetem proračunu 2025 Ministrstvo za digitalno preobrazbo, Inšpektorat RS za informacijsko družbo in Informacijski Pooblaščenec </w:t>
      </w:r>
      <w:r w:rsidR="00461F96">
        <w:rPr>
          <w:b w:val="0"/>
          <w:bCs/>
          <w:sz w:val="20"/>
          <w:szCs w:val="20"/>
          <w:lang w:val="sl-SI"/>
        </w:rPr>
        <w:t>RS</w:t>
      </w:r>
      <w:r w:rsidRPr="00EF4854">
        <w:rPr>
          <w:b w:val="0"/>
          <w:bCs/>
          <w:sz w:val="20"/>
          <w:szCs w:val="20"/>
        </w:rPr>
        <w:t xml:space="preserve"> nimajo zagotovljenih finančnih sredstev. S sprejetjem tega </w:t>
      </w:r>
      <w:r w:rsidR="00461F96">
        <w:rPr>
          <w:b w:val="0"/>
          <w:bCs/>
          <w:sz w:val="20"/>
          <w:szCs w:val="20"/>
          <w:lang w:val="sl-SI"/>
        </w:rPr>
        <w:t>z</w:t>
      </w:r>
      <w:r w:rsidRPr="00EF4854">
        <w:rPr>
          <w:b w:val="0"/>
          <w:bCs/>
          <w:sz w:val="20"/>
          <w:szCs w:val="20"/>
        </w:rPr>
        <w:t>akona se bo vzpostavila zakonska podlaga, ki bo določila tudi finančne posledice,</w:t>
      </w:r>
    </w:p>
    <w:p w14:paraId="4E7687A5" w14:textId="31A81F03" w:rsidR="0039576E" w:rsidRDefault="00EF4854" w:rsidP="00EF4854">
      <w:pPr>
        <w:pStyle w:val="Oddelek"/>
        <w:numPr>
          <w:ilvl w:val="0"/>
          <w:numId w:val="0"/>
        </w:numPr>
        <w:spacing w:before="0" w:after="0" w:line="240" w:lineRule="atLeast"/>
        <w:ind w:right="-7"/>
        <w:jc w:val="both"/>
        <w:rPr>
          <w:b w:val="0"/>
          <w:bCs/>
          <w:sz w:val="20"/>
          <w:szCs w:val="20"/>
          <w:lang w:val="sl-SI"/>
        </w:rPr>
      </w:pPr>
      <w:r w:rsidRPr="00EF4854">
        <w:rPr>
          <w:b w:val="0"/>
          <w:bCs/>
          <w:sz w:val="20"/>
          <w:szCs w:val="20"/>
        </w:rPr>
        <w:t>–</w:t>
      </w:r>
      <w:r w:rsidRPr="00EF4854">
        <w:rPr>
          <w:b w:val="0"/>
          <w:bCs/>
          <w:sz w:val="20"/>
          <w:szCs w:val="20"/>
        </w:rPr>
        <w:tab/>
        <w:t>sredstva bodo zagotovljena z rebalansom ali spremembami državnega proračuna</w:t>
      </w:r>
      <w:r w:rsidR="00461F96">
        <w:rPr>
          <w:b w:val="0"/>
          <w:bCs/>
          <w:sz w:val="20"/>
          <w:szCs w:val="20"/>
          <w:lang w:val="sl-SI"/>
        </w:rPr>
        <w:t>.</w:t>
      </w:r>
    </w:p>
    <w:p w14:paraId="79780FC4" w14:textId="77777777" w:rsidR="00353AAD" w:rsidRDefault="00353AAD" w:rsidP="00EF4854">
      <w:pPr>
        <w:pStyle w:val="Oddelek"/>
        <w:numPr>
          <w:ilvl w:val="0"/>
          <w:numId w:val="0"/>
        </w:numPr>
        <w:spacing w:before="0" w:after="0" w:line="240" w:lineRule="atLeast"/>
        <w:ind w:right="-7"/>
        <w:jc w:val="both"/>
        <w:rPr>
          <w:b w:val="0"/>
          <w:bCs/>
          <w:sz w:val="20"/>
          <w:szCs w:val="20"/>
          <w:lang w:val="sl-SI"/>
        </w:rPr>
      </w:pPr>
    </w:p>
    <w:p w14:paraId="6DA90170" w14:textId="2C3CB8A2" w:rsidR="00461F96" w:rsidRDefault="002F2E05" w:rsidP="00461F96">
      <w:pPr>
        <w:spacing w:line="240" w:lineRule="atLeast"/>
        <w:jc w:val="both"/>
        <w:rPr>
          <w:szCs w:val="20"/>
          <w:lang w:val="sl-SI"/>
        </w:rPr>
      </w:pPr>
      <w:r w:rsidRPr="002F2E05">
        <w:rPr>
          <w:szCs w:val="20"/>
          <w:lang w:val="sl-SI"/>
        </w:rPr>
        <w:t>Glede na parlamentarne postopke sprejemanja zakona konec leta 2024, bodo predvidoma prve finančne posledice zakona nastale v začetku 2025. V sprejetem proračunu 2025 sredstva za zakon niso zagotovljena, saj smo pri planiranju predloga proračuna 2025 upoštevali zgolj sprejete zakonske predpise in njihove finančne posledice</w:t>
      </w:r>
      <w:r>
        <w:rPr>
          <w:szCs w:val="20"/>
          <w:lang w:val="sl-SI"/>
        </w:rPr>
        <w:t xml:space="preserve">. </w:t>
      </w:r>
      <w:r w:rsidR="00461F96" w:rsidRPr="00461F96">
        <w:rPr>
          <w:szCs w:val="20"/>
          <w:lang w:val="sl-SI"/>
        </w:rPr>
        <w:t>V letu 2024 pri pripravi predloga proračuna 2025 ni bilo možno planirati morebitnih novih zakonskih obveznosti, ki so bile šele v načrtu oziroma v pripravljalni fazi, saj je bil njihov sprejem s strani zakonodajalca negotov, tako glede morebitnega amandmiranja kot tudi končnih finančnih posledic.</w:t>
      </w:r>
    </w:p>
    <w:p w14:paraId="0CECB069" w14:textId="77777777" w:rsidR="00557E4F" w:rsidRPr="00461F96" w:rsidRDefault="00557E4F" w:rsidP="00461F96">
      <w:pPr>
        <w:spacing w:line="240" w:lineRule="atLeast"/>
        <w:jc w:val="both"/>
        <w:rPr>
          <w:szCs w:val="20"/>
          <w:lang w:val="sl-SI"/>
        </w:rPr>
      </w:pPr>
    </w:p>
    <w:p w14:paraId="07A90A52" w14:textId="77777777" w:rsidR="00461F96" w:rsidRPr="00461F96" w:rsidRDefault="00461F96" w:rsidP="00461F96">
      <w:pPr>
        <w:spacing w:line="240" w:lineRule="atLeast"/>
        <w:jc w:val="both"/>
        <w:rPr>
          <w:szCs w:val="20"/>
          <w:lang w:val="sl-SI"/>
        </w:rPr>
      </w:pPr>
      <w:r w:rsidRPr="00461F96">
        <w:rPr>
          <w:szCs w:val="20"/>
          <w:lang w:val="sl-SI"/>
        </w:rPr>
        <w:t>Finančne posledice Zakona o izvajanju Uredbe (EU) o evropskem upravljanju podatkov se bodo uredile s spremembo proračuna 2025 in predloga proračuna 2026, ki sta v pripravi.</w:t>
      </w:r>
    </w:p>
    <w:bookmarkEnd w:id="0"/>
    <w:p w14:paraId="4765404F" w14:textId="77777777" w:rsidR="00CB0C98" w:rsidRPr="009564C3" w:rsidRDefault="00CB0C98" w:rsidP="00694DC1">
      <w:pPr>
        <w:spacing w:line="240" w:lineRule="atLeast"/>
        <w:jc w:val="both"/>
        <w:rPr>
          <w:b/>
          <w:szCs w:val="20"/>
          <w:lang w:val="sl-SI"/>
        </w:rPr>
      </w:pPr>
    </w:p>
    <w:p w14:paraId="5FE28E0F" w14:textId="77777777" w:rsidR="001B49A1" w:rsidRPr="001B49A1" w:rsidRDefault="001B49A1" w:rsidP="00694DC1">
      <w:pPr>
        <w:spacing w:line="240" w:lineRule="atLeast"/>
        <w:jc w:val="both"/>
        <w:rPr>
          <w:bCs/>
          <w:szCs w:val="20"/>
          <w:lang w:val="sl-SI"/>
        </w:rPr>
      </w:pPr>
    </w:p>
    <w:p w14:paraId="480A5309" w14:textId="77777777" w:rsidR="00AF5D29" w:rsidRPr="009564C3" w:rsidRDefault="00AF5D29" w:rsidP="00694DC1">
      <w:pPr>
        <w:spacing w:line="240" w:lineRule="atLeast"/>
        <w:jc w:val="both"/>
        <w:rPr>
          <w:b/>
          <w:szCs w:val="20"/>
          <w:lang w:val="sl-SI"/>
        </w:rPr>
      </w:pPr>
      <w:r w:rsidRPr="009564C3">
        <w:rPr>
          <w:b/>
          <w:szCs w:val="20"/>
          <w:lang w:val="sl-SI"/>
        </w:rPr>
        <w:t>5. PRIKAZ UREDITVE V DRUGIH PRAVNIH SISTEMIH IN PRILAGOJENOSTI PREDLAGANE UREDITVE PRAVU EVROPSKE UNIJE</w:t>
      </w:r>
    </w:p>
    <w:p w14:paraId="4F206C8A" w14:textId="35C725D7" w:rsidR="00AF5D29" w:rsidRDefault="00AF5D29" w:rsidP="00694DC1">
      <w:pPr>
        <w:spacing w:line="240" w:lineRule="atLeast"/>
        <w:jc w:val="both"/>
        <w:rPr>
          <w:szCs w:val="20"/>
          <w:lang w:val="sl-SI"/>
        </w:rPr>
      </w:pPr>
    </w:p>
    <w:p w14:paraId="4B17F19A" w14:textId="03F22438" w:rsidR="00720C2B" w:rsidRDefault="00720C2B" w:rsidP="00720C2B">
      <w:pPr>
        <w:spacing w:line="240" w:lineRule="atLeast"/>
        <w:jc w:val="both"/>
        <w:rPr>
          <w:szCs w:val="20"/>
          <w:lang w:val="sl-SI"/>
        </w:rPr>
      </w:pPr>
      <w:r w:rsidRPr="00720C2B">
        <w:rPr>
          <w:szCs w:val="20"/>
          <w:lang w:val="sl-SI"/>
        </w:rPr>
        <w:t>Uredba 2022/868/EU je neposredno uporabljiva v vseh državah članicah EU, določa pa obveznosti držav članic, da določijo organe za izvajanje nalog v skladu s 7., 13. in 23. členom Uredbe 2022/868/EU ter pristojna organa za spremljanje in nadziranje skladnosti ponudnikov storitev posredovanja podatkov in priznanih organizacij za podatkovni altruizem po 14. in 24. členu Uredbe  2022/868/EU.</w:t>
      </w:r>
    </w:p>
    <w:p w14:paraId="4A2BE8E7" w14:textId="77777777" w:rsidR="00720C2B" w:rsidRPr="00720C2B" w:rsidRDefault="00720C2B" w:rsidP="00720C2B">
      <w:pPr>
        <w:spacing w:line="240" w:lineRule="atLeast"/>
        <w:jc w:val="both"/>
        <w:rPr>
          <w:szCs w:val="20"/>
          <w:lang w:val="sl-SI"/>
        </w:rPr>
      </w:pPr>
    </w:p>
    <w:p w14:paraId="34038305" w14:textId="709C826D" w:rsidR="00D63B32" w:rsidRDefault="00720C2B" w:rsidP="00720C2B">
      <w:pPr>
        <w:spacing w:line="240" w:lineRule="atLeast"/>
        <w:jc w:val="both"/>
        <w:rPr>
          <w:szCs w:val="20"/>
          <w:lang w:val="sl-SI"/>
        </w:rPr>
      </w:pPr>
      <w:r w:rsidRPr="00720C2B">
        <w:rPr>
          <w:szCs w:val="20"/>
          <w:lang w:val="sl-SI"/>
        </w:rPr>
        <w:t>Na podlagi podatkov, ki so objavljeni na spletnih straneh Evropske komisije in so prikazani v spodnji tabeli, je 10 držav članic EU že določilo pristojne organe v skladu s 7. členom Uredbe 2022/868/EU. 14 držav članic EU je določilo pristojne organe za storitve posredovanja podatkov v skladu s 13. členom Uredbe 2022/868/EU, 13 držav članic pa je določilo pristojne organe za registracijo organizacij za podatkovni altruizem v skladu s 23. členom Uredbe  2022/868/EU.</w:t>
      </w:r>
    </w:p>
    <w:p w14:paraId="636FCE70" w14:textId="77777777" w:rsidR="00AF5D29" w:rsidRDefault="00AF5D29" w:rsidP="00694DC1">
      <w:pPr>
        <w:spacing w:line="240" w:lineRule="atLeast"/>
        <w:jc w:val="both"/>
        <w:rPr>
          <w:szCs w:val="20"/>
          <w:lang w:val="sl-SI"/>
        </w:rPr>
      </w:pPr>
    </w:p>
    <w:p w14:paraId="756D17EC" w14:textId="2E8F21D1" w:rsidR="00720C2B" w:rsidRPr="00720C2B" w:rsidRDefault="00720C2B" w:rsidP="00720C2B">
      <w:pPr>
        <w:spacing w:line="240" w:lineRule="atLeast"/>
        <w:jc w:val="both"/>
        <w:rPr>
          <w:rFonts w:cs="Arial"/>
          <w:szCs w:val="20"/>
          <w:lang w:val="sl-SI"/>
        </w:rPr>
      </w:pPr>
      <w:r w:rsidRPr="00720C2B">
        <w:rPr>
          <w:b/>
          <w:bCs/>
          <w:szCs w:val="20"/>
          <w:lang w:val="sl-SI"/>
        </w:rPr>
        <w:t>Tabela 4:</w:t>
      </w:r>
      <w:r w:rsidRPr="00720C2B">
        <w:rPr>
          <w:szCs w:val="20"/>
          <w:lang w:val="sl-SI"/>
        </w:rPr>
        <w:t xml:space="preserve"> Pregled pristojnih organov po državah članicah</w:t>
      </w:r>
      <w:r>
        <w:rPr>
          <w:szCs w:val="20"/>
          <w:lang w:val="sl-SI"/>
        </w:rPr>
        <w:t>:</w:t>
      </w:r>
    </w:p>
    <w:tbl>
      <w:tblPr>
        <w:tblStyle w:val="Tabelamrea"/>
        <w:tblW w:w="0" w:type="auto"/>
        <w:jc w:val="center"/>
        <w:tblLook w:val="04A0" w:firstRow="1" w:lastRow="0" w:firstColumn="1" w:lastColumn="0" w:noHBand="0" w:noVBand="1"/>
      </w:tblPr>
      <w:tblGrid>
        <w:gridCol w:w="1531"/>
        <w:gridCol w:w="2221"/>
        <w:gridCol w:w="2087"/>
        <w:gridCol w:w="2649"/>
      </w:tblGrid>
      <w:tr w:rsidR="00720C2B" w:rsidRPr="004B1C6E" w14:paraId="2EB0F0A2" w14:textId="77777777" w:rsidTr="00353AAD">
        <w:trPr>
          <w:jc w:val="center"/>
        </w:trPr>
        <w:tc>
          <w:tcPr>
            <w:tcW w:w="1531" w:type="dxa"/>
            <w:vAlign w:val="center"/>
          </w:tcPr>
          <w:p w14:paraId="667EB8DC" w14:textId="77777777" w:rsidR="00720C2B" w:rsidRPr="00720C2B" w:rsidRDefault="00720C2B" w:rsidP="00720C2B">
            <w:pPr>
              <w:spacing w:line="240" w:lineRule="atLeast"/>
              <w:jc w:val="center"/>
              <w:rPr>
                <w:rFonts w:cs="Arial"/>
                <w:sz w:val="15"/>
                <w:szCs w:val="15"/>
                <w:lang w:val="sl-SI"/>
              </w:rPr>
            </w:pPr>
            <w:r w:rsidRPr="00720C2B">
              <w:rPr>
                <w:rFonts w:cs="Arial"/>
                <w:sz w:val="15"/>
                <w:szCs w:val="15"/>
                <w:lang w:val="sl-SI"/>
              </w:rPr>
              <w:t>Država članica</w:t>
            </w:r>
          </w:p>
        </w:tc>
        <w:tc>
          <w:tcPr>
            <w:tcW w:w="2221" w:type="dxa"/>
            <w:vAlign w:val="center"/>
          </w:tcPr>
          <w:p w14:paraId="2686C004" w14:textId="77777777" w:rsidR="00720C2B" w:rsidRPr="00720C2B" w:rsidRDefault="00720C2B" w:rsidP="00720C2B">
            <w:pPr>
              <w:spacing w:line="240" w:lineRule="atLeast"/>
              <w:jc w:val="center"/>
              <w:rPr>
                <w:rFonts w:cs="Arial"/>
                <w:sz w:val="15"/>
                <w:szCs w:val="15"/>
                <w:lang w:val="sl-SI"/>
              </w:rPr>
            </w:pPr>
            <w:r w:rsidRPr="00720C2B">
              <w:rPr>
                <w:rFonts w:cs="Arial"/>
                <w:sz w:val="15"/>
                <w:szCs w:val="15"/>
                <w:lang w:val="sl-SI"/>
              </w:rPr>
              <w:t>Pristojni organ po 7. členu Uredbe 2022/868/EU</w:t>
            </w:r>
          </w:p>
        </w:tc>
        <w:tc>
          <w:tcPr>
            <w:tcW w:w="2087" w:type="dxa"/>
            <w:vAlign w:val="center"/>
          </w:tcPr>
          <w:p w14:paraId="1A81291B" w14:textId="77777777" w:rsidR="00720C2B" w:rsidRPr="00720C2B" w:rsidRDefault="00720C2B" w:rsidP="00720C2B">
            <w:pPr>
              <w:spacing w:line="240" w:lineRule="atLeast"/>
              <w:jc w:val="center"/>
              <w:rPr>
                <w:rFonts w:cs="Arial"/>
                <w:sz w:val="15"/>
                <w:szCs w:val="15"/>
                <w:lang w:val="sl-SI"/>
              </w:rPr>
            </w:pPr>
            <w:r w:rsidRPr="00720C2B">
              <w:rPr>
                <w:rFonts w:cs="Arial"/>
                <w:sz w:val="15"/>
                <w:szCs w:val="15"/>
                <w:lang w:val="sl-SI"/>
              </w:rPr>
              <w:t>Pristojni organ za storitve posredovanja podatkov po 13. členu Uredbe 2022/868/EU</w:t>
            </w:r>
          </w:p>
        </w:tc>
        <w:tc>
          <w:tcPr>
            <w:tcW w:w="2649" w:type="dxa"/>
            <w:vAlign w:val="center"/>
          </w:tcPr>
          <w:p w14:paraId="6812A781" w14:textId="77777777" w:rsidR="00720C2B" w:rsidRPr="00720C2B" w:rsidRDefault="00720C2B" w:rsidP="00720C2B">
            <w:pPr>
              <w:spacing w:line="240" w:lineRule="atLeast"/>
              <w:jc w:val="center"/>
              <w:rPr>
                <w:rFonts w:cs="Arial"/>
                <w:sz w:val="15"/>
                <w:szCs w:val="15"/>
                <w:lang w:val="sl-SI"/>
              </w:rPr>
            </w:pPr>
            <w:r w:rsidRPr="00720C2B">
              <w:rPr>
                <w:rFonts w:cs="Arial"/>
                <w:sz w:val="15"/>
                <w:szCs w:val="15"/>
                <w:lang w:val="sl-SI"/>
              </w:rPr>
              <w:t>Pristojni organ za registracijo organizacij za podatkovni altruizem po 23. členu Uredbe 2022/868/EU</w:t>
            </w:r>
          </w:p>
        </w:tc>
      </w:tr>
      <w:tr w:rsidR="00720C2B" w:rsidRPr="00720C2B" w14:paraId="2D89AA04" w14:textId="77777777" w:rsidTr="00353AAD">
        <w:trPr>
          <w:jc w:val="center"/>
        </w:trPr>
        <w:tc>
          <w:tcPr>
            <w:tcW w:w="1531" w:type="dxa"/>
            <w:vAlign w:val="center"/>
          </w:tcPr>
          <w:p w14:paraId="550C387D" w14:textId="77777777" w:rsidR="00720C2B" w:rsidRPr="00720C2B" w:rsidRDefault="00720C2B" w:rsidP="00720C2B">
            <w:pPr>
              <w:numPr>
                <w:ilvl w:val="0"/>
                <w:numId w:val="31"/>
              </w:numPr>
              <w:spacing w:line="240" w:lineRule="atLeast"/>
              <w:ind w:left="489" w:hanging="489"/>
              <w:contextualSpacing/>
              <w:rPr>
                <w:rFonts w:eastAsia="Calibri" w:cs="Arial"/>
                <w:kern w:val="2"/>
                <w:sz w:val="15"/>
                <w:szCs w:val="15"/>
                <w:lang w:val="sl-SI"/>
                <w14:ligatures w14:val="standardContextual"/>
              </w:rPr>
            </w:pPr>
            <w:r w:rsidRPr="00720C2B">
              <w:rPr>
                <w:rFonts w:eastAsia="Calibri" w:cs="Arial"/>
                <w:kern w:val="2"/>
                <w:sz w:val="15"/>
                <w:szCs w:val="15"/>
                <w:lang w:val="sl-SI"/>
                <w14:ligatures w14:val="standardContextual"/>
              </w:rPr>
              <w:t>Avstrija</w:t>
            </w:r>
          </w:p>
        </w:tc>
        <w:tc>
          <w:tcPr>
            <w:tcW w:w="2221" w:type="dxa"/>
            <w:vAlign w:val="center"/>
          </w:tcPr>
          <w:p w14:paraId="50DFF1BF" w14:textId="77777777" w:rsidR="00720C2B" w:rsidRPr="00720C2B" w:rsidRDefault="00720C2B" w:rsidP="00720C2B">
            <w:pPr>
              <w:spacing w:line="240" w:lineRule="atLeast"/>
              <w:jc w:val="center"/>
              <w:rPr>
                <w:rFonts w:cs="Arial"/>
                <w:sz w:val="15"/>
                <w:szCs w:val="15"/>
                <w:lang w:val="en-GB"/>
              </w:rPr>
            </w:pPr>
            <w:r w:rsidRPr="00720C2B">
              <w:rPr>
                <w:rFonts w:cs="Arial"/>
                <w:sz w:val="15"/>
                <w:szCs w:val="15"/>
                <w:lang w:val="en-GB"/>
              </w:rPr>
              <w:t>/</w:t>
            </w:r>
          </w:p>
        </w:tc>
        <w:tc>
          <w:tcPr>
            <w:tcW w:w="2087" w:type="dxa"/>
            <w:vAlign w:val="center"/>
          </w:tcPr>
          <w:p w14:paraId="3A49FA2A" w14:textId="77777777" w:rsidR="00720C2B" w:rsidRPr="00720C2B" w:rsidRDefault="00720C2B" w:rsidP="00720C2B">
            <w:pPr>
              <w:spacing w:line="240" w:lineRule="atLeast"/>
              <w:jc w:val="center"/>
              <w:rPr>
                <w:rFonts w:cs="Arial"/>
                <w:sz w:val="15"/>
                <w:szCs w:val="15"/>
                <w:lang w:val="en-GB"/>
              </w:rPr>
            </w:pPr>
            <w:r w:rsidRPr="00720C2B">
              <w:rPr>
                <w:rFonts w:cs="Arial"/>
                <w:sz w:val="15"/>
                <w:szCs w:val="15"/>
                <w:lang w:val="en-GB"/>
              </w:rPr>
              <w:t>/</w:t>
            </w:r>
          </w:p>
        </w:tc>
        <w:tc>
          <w:tcPr>
            <w:tcW w:w="2649" w:type="dxa"/>
            <w:vAlign w:val="center"/>
          </w:tcPr>
          <w:p w14:paraId="430EE590" w14:textId="77777777" w:rsidR="00720C2B" w:rsidRPr="00720C2B" w:rsidRDefault="00720C2B" w:rsidP="00720C2B">
            <w:pPr>
              <w:spacing w:line="240" w:lineRule="atLeast"/>
              <w:jc w:val="center"/>
              <w:rPr>
                <w:rFonts w:cs="Arial"/>
                <w:sz w:val="15"/>
                <w:szCs w:val="15"/>
                <w:lang w:val="en-GB"/>
              </w:rPr>
            </w:pPr>
            <w:r w:rsidRPr="00720C2B">
              <w:rPr>
                <w:rFonts w:cs="Arial"/>
                <w:sz w:val="15"/>
                <w:szCs w:val="15"/>
                <w:lang w:val="en-GB"/>
              </w:rPr>
              <w:t>/</w:t>
            </w:r>
          </w:p>
        </w:tc>
      </w:tr>
      <w:tr w:rsidR="00720C2B" w:rsidRPr="00720C2B" w14:paraId="2C12D58C" w14:textId="77777777" w:rsidTr="00353AAD">
        <w:trPr>
          <w:jc w:val="center"/>
        </w:trPr>
        <w:tc>
          <w:tcPr>
            <w:tcW w:w="1531" w:type="dxa"/>
            <w:vAlign w:val="center"/>
          </w:tcPr>
          <w:p w14:paraId="154C3A17" w14:textId="77777777" w:rsidR="00720C2B" w:rsidRPr="00720C2B" w:rsidRDefault="00720C2B" w:rsidP="00720C2B">
            <w:pPr>
              <w:numPr>
                <w:ilvl w:val="0"/>
                <w:numId w:val="31"/>
              </w:numPr>
              <w:spacing w:line="240" w:lineRule="atLeast"/>
              <w:ind w:left="489" w:hanging="489"/>
              <w:contextualSpacing/>
              <w:rPr>
                <w:rFonts w:eastAsia="Calibri" w:cs="Arial"/>
                <w:kern w:val="2"/>
                <w:sz w:val="15"/>
                <w:szCs w:val="15"/>
                <w:lang w:val="sl-SI"/>
                <w14:ligatures w14:val="standardContextual"/>
              </w:rPr>
            </w:pPr>
            <w:r w:rsidRPr="00720C2B">
              <w:rPr>
                <w:rFonts w:eastAsia="Calibri" w:cs="Arial"/>
                <w:kern w:val="2"/>
                <w:sz w:val="15"/>
                <w:szCs w:val="15"/>
                <w:lang w:val="sl-SI"/>
                <w14:ligatures w14:val="standardContextual"/>
              </w:rPr>
              <w:t>Belgija</w:t>
            </w:r>
          </w:p>
        </w:tc>
        <w:tc>
          <w:tcPr>
            <w:tcW w:w="2221" w:type="dxa"/>
            <w:vAlign w:val="center"/>
          </w:tcPr>
          <w:p w14:paraId="285D47A5" w14:textId="77777777" w:rsidR="00720C2B" w:rsidRPr="00720C2B" w:rsidRDefault="00720C2B" w:rsidP="00720C2B">
            <w:pPr>
              <w:spacing w:line="240" w:lineRule="atLeast"/>
              <w:jc w:val="center"/>
              <w:rPr>
                <w:rFonts w:cs="Arial"/>
                <w:sz w:val="15"/>
                <w:szCs w:val="15"/>
                <w:lang w:val="en-GB"/>
              </w:rPr>
            </w:pPr>
            <w:r w:rsidRPr="00720C2B">
              <w:rPr>
                <w:rFonts w:cs="Arial"/>
                <w:sz w:val="15"/>
                <w:szCs w:val="15"/>
                <w:lang w:val="en-GB"/>
              </w:rPr>
              <w:t>/</w:t>
            </w:r>
          </w:p>
        </w:tc>
        <w:tc>
          <w:tcPr>
            <w:tcW w:w="2087" w:type="dxa"/>
            <w:vAlign w:val="center"/>
          </w:tcPr>
          <w:p w14:paraId="1D923CC4" w14:textId="77777777" w:rsidR="00720C2B" w:rsidRPr="00720C2B" w:rsidRDefault="00720C2B" w:rsidP="00720C2B">
            <w:pPr>
              <w:spacing w:line="240" w:lineRule="atLeast"/>
              <w:jc w:val="center"/>
              <w:rPr>
                <w:rFonts w:cs="Arial"/>
                <w:sz w:val="15"/>
                <w:szCs w:val="15"/>
                <w:lang w:val="en-GB"/>
              </w:rPr>
            </w:pPr>
            <w:r w:rsidRPr="00720C2B">
              <w:rPr>
                <w:rFonts w:cs="Arial"/>
                <w:sz w:val="15"/>
                <w:szCs w:val="15"/>
                <w:lang w:val="en-GB"/>
              </w:rPr>
              <w:t>/</w:t>
            </w:r>
          </w:p>
        </w:tc>
        <w:tc>
          <w:tcPr>
            <w:tcW w:w="2649" w:type="dxa"/>
            <w:vAlign w:val="center"/>
          </w:tcPr>
          <w:p w14:paraId="0E31EB0C" w14:textId="77777777" w:rsidR="00720C2B" w:rsidRPr="00720C2B" w:rsidRDefault="00720C2B" w:rsidP="00720C2B">
            <w:pPr>
              <w:spacing w:line="240" w:lineRule="atLeast"/>
              <w:jc w:val="center"/>
              <w:rPr>
                <w:rFonts w:cs="Arial"/>
                <w:sz w:val="15"/>
                <w:szCs w:val="15"/>
                <w:lang w:val="en-GB"/>
              </w:rPr>
            </w:pPr>
            <w:r w:rsidRPr="00720C2B">
              <w:rPr>
                <w:rFonts w:cs="Arial"/>
                <w:sz w:val="15"/>
                <w:szCs w:val="15"/>
                <w:lang w:val="en-GB"/>
              </w:rPr>
              <w:t>/</w:t>
            </w:r>
          </w:p>
        </w:tc>
      </w:tr>
      <w:tr w:rsidR="00720C2B" w:rsidRPr="00720C2B" w14:paraId="406500B9" w14:textId="77777777" w:rsidTr="00353AAD">
        <w:trPr>
          <w:jc w:val="center"/>
        </w:trPr>
        <w:tc>
          <w:tcPr>
            <w:tcW w:w="1531" w:type="dxa"/>
            <w:vAlign w:val="center"/>
          </w:tcPr>
          <w:p w14:paraId="69971973" w14:textId="77777777" w:rsidR="00720C2B" w:rsidRPr="00720C2B" w:rsidRDefault="00720C2B" w:rsidP="00720C2B">
            <w:pPr>
              <w:numPr>
                <w:ilvl w:val="0"/>
                <w:numId w:val="31"/>
              </w:numPr>
              <w:spacing w:line="240" w:lineRule="atLeast"/>
              <w:ind w:left="489" w:hanging="489"/>
              <w:contextualSpacing/>
              <w:rPr>
                <w:rFonts w:eastAsia="Calibri" w:cs="Arial"/>
                <w:kern w:val="2"/>
                <w:sz w:val="15"/>
                <w:szCs w:val="15"/>
                <w:lang w:val="sl-SI"/>
                <w14:ligatures w14:val="standardContextual"/>
              </w:rPr>
            </w:pPr>
            <w:r w:rsidRPr="00720C2B">
              <w:rPr>
                <w:rFonts w:eastAsia="Calibri" w:cs="Arial"/>
                <w:kern w:val="2"/>
                <w:sz w:val="15"/>
                <w:szCs w:val="15"/>
                <w:lang w:val="sl-SI"/>
                <w14:ligatures w14:val="standardContextual"/>
              </w:rPr>
              <w:t>Bolgarija</w:t>
            </w:r>
          </w:p>
        </w:tc>
        <w:tc>
          <w:tcPr>
            <w:tcW w:w="2221" w:type="dxa"/>
            <w:vAlign w:val="center"/>
          </w:tcPr>
          <w:p w14:paraId="64B83674" w14:textId="77777777" w:rsidR="00720C2B" w:rsidRPr="00720C2B" w:rsidRDefault="00720C2B" w:rsidP="00720C2B">
            <w:pPr>
              <w:numPr>
                <w:ilvl w:val="0"/>
                <w:numId w:val="30"/>
              </w:numPr>
              <w:spacing w:line="240" w:lineRule="atLeast"/>
              <w:ind w:left="177" w:hanging="142"/>
              <w:contextualSpacing/>
              <w:rPr>
                <w:rFonts w:cs="Arial"/>
                <w:sz w:val="15"/>
                <w:szCs w:val="15"/>
                <w:lang w:val="en-GB"/>
              </w:rPr>
            </w:pPr>
            <w:r w:rsidRPr="00720C2B">
              <w:rPr>
                <w:rFonts w:cs="Arial"/>
                <w:sz w:val="15"/>
                <w:szCs w:val="15"/>
                <w:lang w:val="en-GB"/>
              </w:rPr>
              <w:t xml:space="preserve">Minister of e-Government, </w:t>
            </w:r>
          </w:p>
          <w:p w14:paraId="0A0DECA4" w14:textId="77777777" w:rsidR="00720C2B" w:rsidRPr="00720C2B" w:rsidRDefault="00720C2B" w:rsidP="00720C2B">
            <w:pPr>
              <w:numPr>
                <w:ilvl w:val="0"/>
                <w:numId w:val="30"/>
              </w:numPr>
              <w:spacing w:line="240" w:lineRule="atLeast"/>
              <w:ind w:left="177" w:hanging="142"/>
              <w:contextualSpacing/>
              <w:rPr>
                <w:rFonts w:cs="Arial"/>
                <w:sz w:val="15"/>
                <w:szCs w:val="15"/>
                <w:lang w:val="en-GB"/>
              </w:rPr>
            </w:pPr>
            <w:r w:rsidRPr="00720C2B">
              <w:rPr>
                <w:rFonts w:cs="Arial"/>
                <w:sz w:val="15"/>
                <w:szCs w:val="15"/>
                <w:lang w:val="en-GB"/>
              </w:rPr>
              <w:t>President of the National Statistical Institute (for reuse of statistical data)</w:t>
            </w:r>
          </w:p>
        </w:tc>
        <w:tc>
          <w:tcPr>
            <w:tcW w:w="4736" w:type="dxa"/>
            <w:gridSpan w:val="2"/>
            <w:vAlign w:val="center"/>
          </w:tcPr>
          <w:p w14:paraId="533C03A7" w14:textId="77777777" w:rsidR="00720C2B" w:rsidRPr="00720C2B" w:rsidRDefault="00720C2B" w:rsidP="00720C2B">
            <w:pPr>
              <w:spacing w:line="240" w:lineRule="atLeast"/>
              <w:jc w:val="center"/>
              <w:rPr>
                <w:rFonts w:cs="Arial"/>
                <w:sz w:val="15"/>
                <w:szCs w:val="15"/>
                <w:lang w:val="en-GB"/>
              </w:rPr>
            </w:pPr>
            <w:r w:rsidRPr="00720C2B">
              <w:rPr>
                <w:rFonts w:cs="Arial"/>
                <w:sz w:val="15"/>
                <w:szCs w:val="15"/>
                <w:lang w:val="en-GB"/>
              </w:rPr>
              <w:t>Minister of e-Government</w:t>
            </w:r>
          </w:p>
        </w:tc>
      </w:tr>
      <w:tr w:rsidR="00720C2B" w:rsidRPr="00720C2B" w14:paraId="27542A15" w14:textId="77777777" w:rsidTr="00353AAD">
        <w:trPr>
          <w:jc w:val="center"/>
        </w:trPr>
        <w:tc>
          <w:tcPr>
            <w:tcW w:w="1531" w:type="dxa"/>
            <w:vAlign w:val="center"/>
          </w:tcPr>
          <w:p w14:paraId="7DD997FD" w14:textId="77777777" w:rsidR="00720C2B" w:rsidRPr="00720C2B" w:rsidRDefault="00720C2B" w:rsidP="00720C2B">
            <w:pPr>
              <w:numPr>
                <w:ilvl w:val="0"/>
                <w:numId w:val="31"/>
              </w:numPr>
              <w:spacing w:line="240" w:lineRule="atLeast"/>
              <w:ind w:left="489" w:hanging="489"/>
              <w:contextualSpacing/>
              <w:rPr>
                <w:rFonts w:eastAsia="Calibri" w:cs="Arial"/>
                <w:kern w:val="2"/>
                <w:sz w:val="15"/>
                <w:szCs w:val="15"/>
                <w:lang w:val="sl-SI"/>
                <w14:ligatures w14:val="standardContextual"/>
              </w:rPr>
            </w:pPr>
            <w:r w:rsidRPr="00720C2B">
              <w:rPr>
                <w:rFonts w:eastAsia="Calibri" w:cs="Arial"/>
                <w:kern w:val="2"/>
                <w:sz w:val="15"/>
                <w:szCs w:val="15"/>
                <w:lang w:val="sl-SI"/>
                <w14:ligatures w14:val="standardContextual"/>
              </w:rPr>
              <w:t>Hrvaška</w:t>
            </w:r>
          </w:p>
        </w:tc>
        <w:tc>
          <w:tcPr>
            <w:tcW w:w="6957" w:type="dxa"/>
            <w:gridSpan w:val="3"/>
            <w:vAlign w:val="center"/>
          </w:tcPr>
          <w:p w14:paraId="1FA8BC7F" w14:textId="77777777" w:rsidR="00720C2B" w:rsidRPr="00720C2B" w:rsidRDefault="00720C2B" w:rsidP="00720C2B">
            <w:pPr>
              <w:spacing w:line="240" w:lineRule="atLeast"/>
              <w:jc w:val="center"/>
              <w:rPr>
                <w:rFonts w:cs="Arial"/>
                <w:sz w:val="15"/>
                <w:szCs w:val="15"/>
                <w:lang w:val="en-GB"/>
              </w:rPr>
            </w:pPr>
            <w:r w:rsidRPr="00720C2B">
              <w:rPr>
                <w:rFonts w:cs="Arial"/>
                <w:sz w:val="15"/>
                <w:szCs w:val="15"/>
                <w:lang w:val="en-GB"/>
              </w:rPr>
              <w:t>Central State Office for the Development of Digital Society</w:t>
            </w:r>
          </w:p>
        </w:tc>
      </w:tr>
      <w:tr w:rsidR="00720C2B" w:rsidRPr="00720C2B" w14:paraId="1D348651" w14:textId="77777777" w:rsidTr="00353AAD">
        <w:trPr>
          <w:jc w:val="center"/>
        </w:trPr>
        <w:tc>
          <w:tcPr>
            <w:tcW w:w="1531" w:type="dxa"/>
            <w:vAlign w:val="center"/>
          </w:tcPr>
          <w:p w14:paraId="62DF2837" w14:textId="77777777" w:rsidR="00720C2B" w:rsidRPr="00720C2B" w:rsidRDefault="00720C2B" w:rsidP="00720C2B">
            <w:pPr>
              <w:numPr>
                <w:ilvl w:val="0"/>
                <w:numId w:val="31"/>
              </w:numPr>
              <w:spacing w:line="240" w:lineRule="atLeast"/>
              <w:ind w:left="489" w:hanging="489"/>
              <w:contextualSpacing/>
              <w:rPr>
                <w:rFonts w:eastAsia="Calibri" w:cs="Arial"/>
                <w:kern w:val="2"/>
                <w:sz w:val="15"/>
                <w:szCs w:val="15"/>
                <w:lang w:val="sl-SI"/>
                <w14:ligatures w14:val="standardContextual"/>
              </w:rPr>
            </w:pPr>
            <w:r w:rsidRPr="00720C2B">
              <w:rPr>
                <w:rFonts w:eastAsia="Calibri" w:cs="Arial"/>
                <w:kern w:val="2"/>
                <w:sz w:val="15"/>
                <w:szCs w:val="15"/>
                <w:lang w:val="sl-SI"/>
                <w14:ligatures w14:val="standardContextual"/>
              </w:rPr>
              <w:t>Ciper</w:t>
            </w:r>
          </w:p>
        </w:tc>
        <w:tc>
          <w:tcPr>
            <w:tcW w:w="2221" w:type="dxa"/>
            <w:vAlign w:val="center"/>
          </w:tcPr>
          <w:p w14:paraId="2616B5DA" w14:textId="77777777" w:rsidR="00720C2B" w:rsidRPr="00720C2B" w:rsidRDefault="00720C2B" w:rsidP="00720C2B">
            <w:pPr>
              <w:spacing w:line="240" w:lineRule="atLeast"/>
              <w:jc w:val="center"/>
              <w:rPr>
                <w:rFonts w:cs="Arial"/>
                <w:sz w:val="15"/>
                <w:szCs w:val="15"/>
                <w:lang w:val="en-GB"/>
              </w:rPr>
            </w:pPr>
            <w:r w:rsidRPr="00720C2B">
              <w:rPr>
                <w:rFonts w:cs="Arial"/>
                <w:sz w:val="15"/>
                <w:szCs w:val="15"/>
                <w:lang w:val="en-GB"/>
              </w:rPr>
              <w:t>/</w:t>
            </w:r>
          </w:p>
        </w:tc>
        <w:tc>
          <w:tcPr>
            <w:tcW w:w="2087" w:type="dxa"/>
            <w:vAlign w:val="center"/>
          </w:tcPr>
          <w:p w14:paraId="504B26F0" w14:textId="77777777" w:rsidR="00720C2B" w:rsidRPr="00720C2B" w:rsidRDefault="00720C2B" w:rsidP="00720C2B">
            <w:pPr>
              <w:spacing w:line="240" w:lineRule="atLeast"/>
              <w:jc w:val="center"/>
              <w:rPr>
                <w:rFonts w:cs="Arial"/>
                <w:sz w:val="15"/>
                <w:szCs w:val="15"/>
                <w:lang w:val="en-GB"/>
              </w:rPr>
            </w:pPr>
            <w:r w:rsidRPr="00720C2B">
              <w:rPr>
                <w:rFonts w:cs="Arial"/>
                <w:sz w:val="15"/>
                <w:szCs w:val="15"/>
                <w:lang w:val="en-GB"/>
              </w:rPr>
              <w:t>/</w:t>
            </w:r>
          </w:p>
        </w:tc>
        <w:tc>
          <w:tcPr>
            <w:tcW w:w="2649" w:type="dxa"/>
            <w:vAlign w:val="center"/>
          </w:tcPr>
          <w:p w14:paraId="6E21AE9C" w14:textId="77777777" w:rsidR="00720C2B" w:rsidRPr="00720C2B" w:rsidRDefault="00720C2B" w:rsidP="00720C2B">
            <w:pPr>
              <w:spacing w:line="240" w:lineRule="atLeast"/>
              <w:jc w:val="center"/>
              <w:rPr>
                <w:rFonts w:cs="Arial"/>
                <w:sz w:val="15"/>
                <w:szCs w:val="15"/>
                <w:lang w:val="en-GB"/>
              </w:rPr>
            </w:pPr>
            <w:r w:rsidRPr="00720C2B">
              <w:rPr>
                <w:rFonts w:cs="Arial"/>
                <w:sz w:val="15"/>
                <w:szCs w:val="15"/>
                <w:lang w:val="en-GB"/>
              </w:rPr>
              <w:t>/</w:t>
            </w:r>
          </w:p>
        </w:tc>
      </w:tr>
      <w:tr w:rsidR="00720C2B" w:rsidRPr="00720C2B" w14:paraId="02848718" w14:textId="77777777" w:rsidTr="00353AAD">
        <w:trPr>
          <w:jc w:val="center"/>
        </w:trPr>
        <w:tc>
          <w:tcPr>
            <w:tcW w:w="1531" w:type="dxa"/>
            <w:vAlign w:val="center"/>
          </w:tcPr>
          <w:p w14:paraId="03119DC8" w14:textId="77777777" w:rsidR="00720C2B" w:rsidRPr="00720C2B" w:rsidRDefault="00720C2B" w:rsidP="00720C2B">
            <w:pPr>
              <w:numPr>
                <w:ilvl w:val="0"/>
                <w:numId w:val="31"/>
              </w:numPr>
              <w:spacing w:line="240" w:lineRule="atLeast"/>
              <w:ind w:left="489" w:hanging="489"/>
              <w:contextualSpacing/>
              <w:rPr>
                <w:rFonts w:eastAsia="Calibri" w:cs="Arial"/>
                <w:kern w:val="2"/>
                <w:sz w:val="15"/>
                <w:szCs w:val="15"/>
                <w:lang w:val="sl-SI"/>
                <w14:ligatures w14:val="standardContextual"/>
              </w:rPr>
            </w:pPr>
            <w:r w:rsidRPr="00720C2B">
              <w:rPr>
                <w:rFonts w:eastAsia="Calibri" w:cs="Arial"/>
                <w:kern w:val="2"/>
                <w:sz w:val="15"/>
                <w:szCs w:val="15"/>
                <w:lang w:val="sl-SI"/>
                <w14:ligatures w14:val="standardContextual"/>
              </w:rPr>
              <w:t>Češka Republika</w:t>
            </w:r>
          </w:p>
        </w:tc>
        <w:tc>
          <w:tcPr>
            <w:tcW w:w="2221" w:type="dxa"/>
            <w:vAlign w:val="center"/>
          </w:tcPr>
          <w:p w14:paraId="55DEB8A7" w14:textId="77777777" w:rsidR="00720C2B" w:rsidRPr="00720C2B" w:rsidRDefault="00720C2B" w:rsidP="00720C2B">
            <w:pPr>
              <w:spacing w:line="240" w:lineRule="atLeast"/>
              <w:jc w:val="center"/>
              <w:rPr>
                <w:rFonts w:cs="Arial"/>
                <w:sz w:val="15"/>
                <w:szCs w:val="15"/>
                <w:lang w:val="en-GB"/>
              </w:rPr>
            </w:pPr>
            <w:r w:rsidRPr="00720C2B">
              <w:rPr>
                <w:rFonts w:cs="Arial"/>
                <w:sz w:val="15"/>
                <w:szCs w:val="15"/>
                <w:lang w:val="en-GB"/>
              </w:rPr>
              <w:t>/</w:t>
            </w:r>
          </w:p>
        </w:tc>
        <w:tc>
          <w:tcPr>
            <w:tcW w:w="2087" w:type="dxa"/>
            <w:vAlign w:val="center"/>
          </w:tcPr>
          <w:p w14:paraId="5C5EC4F2" w14:textId="77777777" w:rsidR="00720C2B" w:rsidRPr="00720C2B" w:rsidRDefault="00720C2B" w:rsidP="00720C2B">
            <w:pPr>
              <w:spacing w:line="240" w:lineRule="atLeast"/>
              <w:jc w:val="center"/>
              <w:rPr>
                <w:rFonts w:cs="Arial"/>
                <w:sz w:val="15"/>
                <w:szCs w:val="15"/>
                <w:lang w:val="en-GB"/>
              </w:rPr>
            </w:pPr>
            <w:r w:rsidRPr="00720C2B">
              <w:rPr>
                <w:rFonts w:cs="Arial"/>
                <w:sz w:val="15"/>
                <w:szCs w:val="15"/>
                <w:lang w:val="en-GB"/>
              </w:rPr>
              <w:t>/</w:t>
            </w:r>
          </w:p>
        </w:tc>
        <w:tc>
          <w:tcPr>
            <w:tcW w:w="2649" w:type="dxa"/>
            <w:vAlign w:val="center"/>
          </w:tcPr>
          <w:p w14:paraId="3AB6666F" w14:textId="77777777" w:rsidR="00720C2B" w:rsidRPr="00720C2B" w:rsidRDefault="00720C2B" w:rsidP="00720C2B">
            <w:pPr>
              <w:spacing w:line="240" w:lineRule="atLeast"/>
              <w:jc w:val="center"/>
              <w:rPr>
                <w:rFonts w:cs="Arial"/>
                <w:sz w:val="15"/>
                <w:szCs w:val="15"/>
                <w:lang w:val="en-GB"/>
              </w:rPr>
            </w:pPr>
            <w:r w:rsidRPr="00720C2B">
              <w:rPr>
                <w:rFonts w:cs="Arial"/>
                <w:sz w:val="15"/>
                <w:szCs w:val="15"/>
                <w:lang w:val="en-GB"/>
              </w:rPr>
              <w:t>/</w:t>
            </w:r>
          </w:p>
        </w:tc>
      </w:tr>
      <w:tr w:rsidR="00720C2B" w:rsidRPr="00720C2B" w14:paraId="400FFB28" w14:textId="77777777" w:rsidTr="00353AAD">
        <w:trPr>
          <w:jc w:val="center"/>
        </w:trPr>
        <w:tc>
          <w:tcPr>
            <w:tcW w:w="1531" w:type="dxa"/>
            <w:vAlign w:val="center"/>
          </w:tcPr>
          <w:p w14:paraId="313F643C" w14:textId="77777777" w:rsidR="00720C2B" w:rsidRPr="00720C2B" w:rsidRDefault="00720C2B" w:rsidP="00720C2B">
            <w:pPr>
              <w:numPr>
                <w:ilvl w:val="0"/>
                <w:numId w:val="31"/>
              </w:numPr>
              <w:spacing w:line="240" w:lineRule="atLeast"/>
              <w:ind w:left="489" w:hanging="489"/>
              <w:contextualSpacing/>
              <w:rPr>
                <w:rFonts w:eastAsia="Calibri" w:cs="Arial"/>
                <w:kern w:val="2"/>
                <w:sz w:val="15"/>
                <w:szCs w:val="15"/>
                <w:lang w:val="sl-SI"/>
                <w14:ligatures w14:val="standardContextual"/>
              </w:rPr>
            </w:pPr>
            <w:r w:rsidRPr="00720C2B">
              <w:rPr>
                <w:rFonts w:eastAsia="Calibri" w:cs="Arial"/>
                <w:kern w:val="2"/>
                <w:sz w:val="15"/>
                <w:szCs w:val="15"/>
                <w:lang w:val="sl-SI"/>
                <w14:ligatures w14:val="standardContextual"/>
              </w:rPr>
              <w:t>Danska</w:t>
            </w:r>
          </w:p>
        </w:tc>
        <w:tc>
          <w:tcPr>
            <w:tcW w:w="2221" w:type="dxa"/>
            <w:vAlign w:val="center"/>
          </w:tcPr>
          <w:p w14:paraId="67F51455" w14:textId="77777777" w:rsidR="00720C2B" w:rsidRPr="00720C2B" w:rsidRDefault="00720C2B" w:rsidP="00720C2B">
            <w:pPr>
              <w:spacing w:line="240" w:lineRule="atLeast"/>
              <w:jc w:val="center"/>
              <w:rPr>
                <w:rFonts w:cs="Arial"/>
                <w:sz w:val="15"/>
                <w:szCs w:val="15"/>
                <w:lang w:val="en-GB"/>
              </w:rPr>
            </w:pPr>
            <w:r w:rsidRPr="00720C2B">
              <w:rPr>
                <w:rFonts w:cs="Arial"/>
                <w:sz w:val="15"/>
                <w:szCs w:val="15"/>
                <w:lang w:val="en-GB"/>
              </w:rPr>
              <w:t>Statistics Denmark</w:t>
            </w:r>
          </w:p>
        </w:tc>
        <w:tc>
          <w:tcPr>
            <w:tcW w:w="4736" w:type="dxa"/>
            <w:gridSpan w:val="2"/>
            <w:vAlign w:val="center"/>
          </w:tcPr>
          <w:p w14:paraId="4019FD1C" w14:textId="77777777" w:rsidR="00720C2B" w:rsidRPr="00720C2B" w:rsidRDefault="00720C2B" w:rsidP="00720C2B">
            <w:pPr>
              <w:spacing w:line="240" w:lineRule="atLeast"/>
              <w:jc w:val="center"/>
              <w:rPr>
                <w:rFonts w:cs="Arial"/>
                <w:sz w:val="15"/>
                <w:szCs w:val="15"/>
                <w:lang w:val="en-GB"/>
              </w:rPr>
            </w:pPr>
            <w:r w:rsidRPr="00720C2B">
              <w:rPr>
                <w:rFonts w:cs="Arial"/>
                <w:sz w:val="15"/>
                <w:szCs w:val="15"/>
                <w:lang w:val="en-GB"/>
              </w:rPr>
              <w:t>Agency for Digital Government</w:t>
            </w:r>
          </w:p>
        </w:tc>
      </w:tr>
      <w:tr w:rsidR="00720C2B" w:rsidRPr="00720C2B" w14:paraId="5FDB6B1C" w14:textId="77777777" w:rsidTr="00353AAD">
        <w:trPr>
          <w:jc w:val="center"/>
        </w:trPr>
        <w:tc>
          <w:tcPr>
            <w:tcW w:w="1531" w:type="dxa"/>
            <w:vAlign w:val="center"/>
          </w:tcPr>
          <w:p w14:paraId="4022FB28" w14:textId="77777777" w:rsidR="00720C2B" w:rsidRPr="00720C2B" w:rsidRDefault="00720C2B" w:rsidP="00720C2B">
            <w:pPr>
              <w:numPr>
                <w:ilvl w:val="0"/>
                <w:numId w:val="31"/>
              </w:numPr>
              <w:spacing w:line="240" w:lineRule="atLeast"/>
              <w:ind w:left="489" w:hanging="489"/>
              <w:contextualSpacing/>
              <w:rPr>
                <w:rFonts w:eastAsia="Calibri" w:cs="Arial"/>
                <w:kern w:val="2"/>
                <w:sz w:val="15"/>
                <w:szCs w:val="15"/>
                <w:lang w:val="sl-SI"/>
                <w14:ligatures w14:val="standardContextual"/>
              </w:rPr>
            </w:pPr>
            <w:r w:rsidRPr="00720C2B">
              <w:rPr>
                <w:rFonts w:eastAsia="Calibri" w:cs="Arial"/>
                <w:kern w:val="2"/>
                <w:sz w:val="15"/>
                <w:szCs w:val="15"/>
                <w:lang w:val="sl-SI"/>
                <w14:ligatures w14:val="standardContextual"/>
              </w:rPr>
              <w:t>Estonija</w:t>
            </w:r>
          </w:p>
        </w:tc>
        <w:tc>
          <w:tcPr>
            <w:tcW w:w="2221" w:type="dxa"/>
            <w:vAlign w:val="center"/>
          </w:tcPr>
          <w:p w14:paraId="190A0E44" w14:textId="77777777" w:rsidR="00720C2B" w:rsidRPr="00720C2B" w:rsidRDefault="00720C2B" w:rsidP="00720C2B">
            <w:pPr>
              <w:spacing w:line="240" w:lineRule="atLeast"/>
              <w:jc w:val="center"/>
              <w:rPr>
                <w:rFonts w:cs="Arial"/>
                <w:sz w:val="15"/>
                <w:szCs w:val="15"/>
                <w:lang w:val="en-GB"/>
              </w:rPr>
            </w:pPr>
            <w:r w:rsidRPr="00720C2B">
              <w:rPr>
                <w:rFonts w:cs="Arial"/>
                <w:sz w:val="15"/>
                <w:szCs w:val="15"/>
                <w:lang w:val="en-GB"/>
              </w:rPr>
              <w:t>/</w:t>
            </w:r>
          </w:p>
        </w:tc>
        <w:tc>
          <w:tcPr>
            <w:tcW w:w="2087" w:type="dxa"/>
            <w:vAlign w:val="center"/>
          </w:tcPr>
          <w:p w14:paraId="31D20D49" w14:textId="77777777" w:rsidR="00720C2B" w:rsidRPr="00720C2B" w:rsidRDefault="00720C2B" w:rsidP="00720C2B">
            <w:pPr>
              <w:spacing w:line="240" w:lineRule="atLeast"/>
              <w:jc w:val="center"/>
              <w:rPr>
                <w:rFonts w:cs="Arial"/>
                <w:sz w:val="15"/>
                <w:szCs w:val="15"/>
                <w:lang w:val="en-GB"/>
              </w:rPr>
            </w:pPr>
            <w:r w:rsidRPr="00720C2B">
              <w:rPr>
                <w:rFonts w:cs="Arial"/>
                <w:sz w:val="15"/>
                <w:szCs w:val="15"/>
                <w:lang w:val="en-GB"/>
              </w:rPr>
              <w:t>/</w:t>
            </w:r>
          </w:p>
        </w:tc>
        <w:tc>
          <w:tcPr>
            <w:tcW w:w="2649" w:type="dxa"/>
            <w:vAlign w:val="center"/>
          </w:tcPr>
          <w:p w14:paraId="62548767" w14:textId="77777777" w:rsidR="00720C2B" w:rsidRPr="00720C2B" w:rsidRDefault="00720C2B" w:rsidP="00720C2B">
            <w:pPr>
              <w:spacing w:line="240" w:lineRule="atLeast"/>
              <w:jc w:val="center"/>
              <w:rPr>
                <w:rFonts w:cs="Arial"/>
                <w:sz w:val="15"/>
                <w:szCs w:val="15"/>
                <w:lang w:val="en-GB"/>
              </w:rPr>
            </w:pPr>
            <w:r w:rsidRPr="00720C2B">
              <w:rPr>
                <w:rFonts w:cs="Arial"/>
                <w:sz w:val="15"/>
                <w:szCs w:val="15"/>
                <w:lang w:val="en-GB"/>
              </w:rPr>
              <w:t>/</w:t>
            </w:r>
          </w:p>
        </w:tc>
      </w:tr>
      <w:tr w:rsidR="00720C2B" w:rsidRPr="00720C2B" w14:paraId="5287F85A" w14:textId="77777777" w:rsidTr="00353AAD">
        <w:trPr>
          <w:jc w:val="center"/>
        </w:trPr>
        <w:tc>
          <w:tcPr>
            <w:tcW w:w="1531" w:type="dxa"/>
            <w:vAlign w:val="center"/>
          </w:tcPr>
          <w:p w14:paraId="7FA8F233" w14:textId="77777777" w:rsidR="00720C2B" w:rsidRPr="00720C2B" w:rsidRDefault="00720C2B" w:rsidP="00720C2B">
            <w:pPr>
              <w:numPr>
                <w:ilvl w:val="0"/>
                <w:numId w:val="31"/>
              </w:numPr>
              <w:spacing w:line="240" w:lineRule="atLeast"/>
              <w:ind w:left="489" w:hanging="489"/>
              <w:contextualSpacing/>
              <w:rPr>
                <w:rFonts w:eastAsia="Calibri" w:cs="Arial"/>
                <w:kern w:val="2"/>
                <w:sz w:val="15"/>
                <w:szCs w:val="15"/>
                <w:lang w:val="sl-SI"/>
                <w14:ligatures w14:val="standardContextual"/>
              </w:rPr>
            </w:pPr>
            <w:r w:rsidRPr="00720C2B">
              <w:rPr>
                <w:rFonts w:eastAsia="Calibri" w:cs="Arial"/>
                <w:kern w:val="2"/>
                <w:sz w:val="15"/>
                <w:szCs w:val="15"/>
                <w:lang w:val="sl-SI"/>
                <w14:ligatures w14:val="standardContextual"/>
              </w:rPr>
              <w:t>Finska</w:t>
            </w:r>
          </w:p>
        </w:tc>
        <w:tc>
          <w:tcPr>
            <w:tcW w:w="2221" w:type="dxa"/>
            <w:vAlign w:val="center"/>
          </w:tcPr>
          <w:p w14:paraId="0F60975A" w14:textId="77777777" w:rsidR="00720C2B" w:rsidRPr="00720C2B" w:rsidRDefault="00720C2B" w:rsidP="00720C2B">
            <w:pPr>
              <w:numPr>
                <w:ilvl w:val="0"/>
                <w:numId w:val="30"/>
              </w:numPr>
              <w:spacing w:line="240" w:lineRule="atLeast"/>
              <w:ind w:left="177" w:hanging="142"/>
              <w:contextualSpacing/>
              <w:rPr>
                <w:rFonts w:cs="Arial"/>
                <w:sz w:val="15"/>
                <w:szCs w:val="15"/>
                <w:lang w:val="en-GB"/>
              </w:rPr>
            </w:pPr>
            <w:r w:rsidRPr="00720C2B">
              <w:rPr>
                <w:rFonts w:cs="Arial"/>
                <w:sz w:val="15"/>
                <w:szCs w:val="15"/>
                <w:lang w:val="en-GB"/>
              </w:rPr>
              <w:t>Statistics Finland</w:t>
            </w:r>
          </w:p>
          <w:p w14:paraId="079AFEE3" w14:textId="77777777" w:rsidR="00720C2B" w:rsidRPr="00720C2B" w:rsidRDefault="00720C2B" w:rsidP="00720C2B">
            <w:pPr>
              <w:numPr>
                <w:ilvl w:val="0"/>
                <w:numId w:val="30"/>
              </w:numPr>
              <w:spacing w:line="240" w:lineRule="atLeast"/>
              <w:ind w:left="177" w:hanging="142"/>
              <w:contextualSpacing/>
              <w:rPr>
                <w:rFonts w:cs="Arial"/>
                <w:sz w:val="15"/>
                <w:szCs w:val="15"/>
                <w:lang w:val="en-GB"/>
              </w:rPr>
            </w:pPr>
            <w:r w:rsidRPr="00720C2B">
              <w:rPr>
                <w:rFonts w:cs="Arial"/>
                <w:sz w:val="15"/>
                <w:szCs w:val="15"/>
                <w:lang w:val="en-GB"/>
              </w:rPr>
              <w:t>Finnish Social and Health Data Permit Authority Findata (for secondary use of social and health care data</w:t>
            </w:r>
          </w:p>
        </w:tc>
        <w:tc>
          <w:tcPr>
            <w:tcW w:w="4736" w:type="dxa"/>
            <w:gridSpan w:val="2"/>
            <w:vAlign w:val="center"/>
          </w:tcPr>
          <w:p w14:paraId="6030FDDD" w14:textId="77777777" w:rsidR="00720C2B" w:rsidRPr="00720C2B" w:rsidRDefault="00720C2B" w:rsidP="00720C2B">
            <w:pPr>
              <w:spacing w:line="240" w:lineRule="atLeast"/>
              <w:jc w:val="center"/>
              <w:rPr>
                <w:rFonts w:cs="Arial"/>
                <w:sz w:val="15"/>
                <w:szCs w:val="15"/>
                <w:lang w:val="en-GB"/>
              </w:rPr>
            </w:pPr>
            <w:r w:rsidRPr="00720C2B">
              <w:rPr>
                <w:rFonts w:cs="Arial"/>
                <w:sz w:val="15"/>
                <w:szCs w:val="15"/>
                <w:lang w:val="en-GB"/>
              </w:rPr>
              <w:t>Finnish Transport and Communications Agency Traficom</w:t>
            </w:r>
          </w:p>
        </w:tc>
      </w:tr>
      <w:tr w:rsidR="00720C2B" w:rsidRPr="004B1C6E" w14:paraId="5E0FE4A0" w14:textId="77777777" w:rsidTr="00353AAD">
        <w:trPr>
          <w:jc w:val="center"/>
        </w:trPr>
        <w:tc>
          <w:tcPr>
            <w:tcW w:w="1531" w:type="dxa"/>
            <w:vAlign w:val="center"/>
          </w:tcPr>
          <w:p w14:paraId="454F7235" w14:textId="77777777" w:rsidR="00720C2B" w:rsidRPr="00720C2B" w:rsidRDefault="00720C2B" w:rsidP="00720C2B">
            <w:pPr>
              <w:numPr>
                <w:ilvl w:val="0"/>
                <w:numId w:val="31"/>
              </w:numPr>
              <w:spacing w:line="240" w:lineRule="atLeast"/>
              <w:ind w:left="489" w:hanging="489"/>
              <w:contextualSpacing/>
              <w:rPr>
                <w:rFonts w:eastAsia="Calibri" w:cs="Arial"/>
                <w:kern w:val="2"/>
                <w:sz w:val="15"/>
                <w:szCs w:val="15"/>
                <w:lang w:val="sl-SI"/>
                <w14:ligatures w14:val="standardContextual"/>
              </w:rPr>
            </w:pPr>
            <w:r w:rsidRPr="00720C2B">
              <w:rPr>
                <w:rFonts w:eastAsia="Calibri" w:cs="Arial"/>
                <w:kern w:val="2"/>
                <w:sz w:val="15"/>
                <w:szCs w:val="15"/>
                <w:lang w:val="sl-SI"/>
                <w14:ligatures w14:val="standardContextual"/>
              </w:rPr>
              <w:t>Francija</w:t>
            </w:r>
          </w:p>
        </w:tc>
        <w:tc>
          <w:tcPr>
            <w:tcW w:w="2221" w:type="dxa"/>
            <w:vAlign w:val="center"/>
          </w:tcPr>
          <w:p w14:paraId="13DD291C" w14:textId="77777777" w:rsidR="00720C2B" w:rsidRPr="00720C2B" w:rsidRDefault="00720C2B" w:rsidP="00720C2B">
            <w:pPr>
              <w:spacing w:line="240" w:lineRule="atLeast"/>
              <w:jc w:val="center"/>
              <w:rPr>
                <w:rFonts w:cs="Arial"/>
                <w:sz w:val="15"/>
                <w:szCs w:val="15"/>
                <w:lang w:val="en-GB"/>
              </w:rPr>
            </w:pPr>
            <w:r w:rsidRPr="00720C2B">
              <w:rPr>
                <w:rFonts w:cs="Arial"/>
                <w:sz w:val="15"/>
                <w:szCs w:val="15"/>
                <w:lang w:val="en-GB"/>
              </w:rPr>
              <w:t>/</w:t>
            </w:r>
          </w:p>
        </w:tc>
        <w:tc>
          <w:tcPr>
            <w:tcW w:w="2087" w:type="dxa"/>
            <w:vAlign w:val="center"/>
          </w:tcPr>
          <w:p w14:paraId="267EC016" w14:textId="77777777" w:rsidR="00720C2B" w:rsidRPr="00720C2B" w:rsidRDefault="00720C2B" w:rsidP="00720C2B">
            <w:pPr>
              <w:spacing w:line="240" w:lineRule="atLeast"/>
              <w:jc w:val="center"/>
              <w:rPr>
                <w:rFonts w:cs="Arial"/>
                <w:sz w:val="15"/>
                <w:szCs w:val="15"/>
                <w:lang w:val="fr-FR"/>
              </w:rPr>
            </w:pPr>
            <w:r w:rsidRPr="00720C2B">
              <w:rPr>
                <w:rFonts w:cs="Arial"/>
                <w:sz w:val="15"/>
                <w:szCs w:val="15"/>
                <w:lang w:val="fr-FR" w:eastAsia="sl-SI"/>
              </w:rPr>
              <w:t>ARCEP - L’Autorité de régulation des communications électroniques, des postes et de la distribution de la presse</w:t>
            </w:r>
          </w:p>
        </w:tc>
        <w:tc>
          <w:tcPr>
            <w:tcW w:w="2649" w:type="dxa"/>
            <w:vAlign w:val="center"/>
          </w:tcPr>
          <w:p w14:paraId="679BC636" w14:textId="77777777" w:rsidR="00720C2B" w:rsidRPr="00720C2B" w:rsidRDefault="00720C2B" w:rsidP="00720C2B">
            <w:pPr>
              <w:spacing w:line="240" w:lineRule="atLeast"/>
              <w:jc w:val="center"/>
              <w:rPr>
                <w:rFonts w:cs="Arial"/>
                <w:sz w:val="15"/>
                <w:szCs w:val="15"/>
                <w:lang w:val="fr-FR"/>
              </w:rPr>
            </w:pPr>
            <w:r w:rsidRPr="00720C2B">
              <w:rPr>
                <w:rFonts w:cs="Arial"/>
                <w:sz w:val="15"/>
                <w:szCs w:val="15"/>
                <w:lang w:val="fr-FR" w:eastAsia="sl-SI"/>
              </w:rPr>
              <w:t>CNIL - La Commission Nationale de l'Informatique et des Libertés</w:t>
            </w:r>
          </w:p>
        </w:tc>
      </w:tr>
      <w:tr w:rsidR="00720C2B" w:rsidRPr="00720C2B" w14:paraId="343DC8DE" w14:textId="77777777" w:rsidTr="00353AAD">
        <w:trPr>
          <w:jc w:val="center"/>
        </w:trPr>
        <w:tc>
          <w:tcPr>
            <w:tcW w:w="1531" w:type="dxa"/>
            <w:vAlign w:val="center"/>
          </w:tcPr>
          <w:p w14:paraId="22C2B441" w14:textId="77777777" w:rsidR="00720C2B" w:rsidRPr="00720C2B" w:rsidRDefault="00720C2B" w:rsidP="00720C2B">
            <w:pPr>
              <w:numPr>
                <w:ilvl w:val="0"/>
                <w:numId w:val="31"/>
              </w:numPr>
              <w:spacing w:line="240" w:lineRule="atLeast"/>
              <w:ind w:left="489" w:hanging="489"/>
              <w:contextualSpacing/>
              <w:rPr>
                <w:rFonts w:eastAsia="Calibri" w:cs="Arial"/>
                <w:kern w:val="2"/>
                <w:sz w:val="15"/>
                <w:szCs w:val="15"/>
                <w:lang w:val="sl-SI"/>
                <w14:ligatures w14:val="standardContextual"/>
              </w:rPr>
            </w:pPr>
            <w:r w:rsidRPr="00720C2B">
              <w:rPr>
                <w:rFonts w:eastAsia="Calibri" w:cs="Arial"/>
                <w:kern w:val="2"/>
                <w:sz w:val="15"/>
                <w:szCs w:val="15"/>
                <w:lang w:val="sl-SI"/>
                <w14:ligatures w14:val="standardContextual"/>
              </w:rPr>
              <w:t>Nemčija</w:t>
            </w:r>
          </w:p>
        </w:tc>
        <w:tc>
          <w:tcPr>
            <w:tcW w:w="2221" w:type="dxa"/>
            <w:vAlign w:val="center"/>
          </w:tcPr>
          <w:p w14:paraId="2289EB32" w14:textId="77777777" w:rsidR="00720C2B" w:rsidRPr="00720C2B" w:rsidRDefault="00720C2B" w:rsidP="00720C2B">
            <w:pPr>
              <w:spacing w:line="240" w:lineRule="atLeast"/>
              <w:jc w:val="center"/>
              <w:rPr>
                <w:rFonts w:cs="Arial"/>
                <w:sz w:val="15"/>
                <w:szCs w:val="15"/>
                <w:lang w:val="en-GB"/>
              </w:rPr>
            </w:pPr>
            <w:r w:rsidRPr="00720C2B">
              <w:rPr>
                <w:rFonts w:cs="Arial"/>
                <w:sz w:val="15"/>
                <w:szCs w:val="15"/>
                <w:lang w:val="en-GB"/>
              </w:rPr>
              <w:t>/</w:t>
            </w:r>
          </w:p>
        </w:tc>
        <w:tc>
          <w:tcPr>
            <w:tcW w:w="2087" w:type="dxa"/>
            <w:vAlign w:val="center"/>
          </w:tcPr>
          <w:p w14:paraId="20109EE1" w14:textId="77777777" w:rsidR="00720C2B" w:rsidRPr="00720C2B" w:rsidRDefault="00720C2B" w:rsidP="00720C2B">
            <w:pPr>
              <w:spacing w:line="240" w:lineRule="atLeast"/>
              <w:jc w:val="center"/>
              <w:rPr>
                <w:rFonts w:cs="Arial"/>
                <w:sz w:val="15"/>
                <w:szCs w:val="15"/>
                <w:lang w:val="en-GB"/>
              </w:rPr>
            </w:pPr>
            <w:r w:rsidRPr="00720C2B">
              <w:rPr>
                <w:rFonts w:cs="Arial"/>
                <w:sz w:val="15"/>
                <w:szCs w:val="15"/>
                <w:lang w:val="en-GB"/>
              </w:rPr>
              <w:t>/</w:t>
            </w:r>
          </w:p>
        </w:tc>
        <w:tc>
          <w:tcPr>
            <w:tcW w:w="2649" w:type="dxa"/>
            <w:vAlign w:val="center"/>
          </w:tcPr>
          <w:p w14:paraId="38ABDCAE" w14:textId="77777777" w:rsidR="00720C2B" w:rsidRPr="00720C2B" w:rsidRDefault="00720C2B" w:rsidP="00720C2B">
            <w:pPr>
              <w:spacing w:line="240" w:lineRule="atLeast"/>
              <w:jc w:val="center"/>
              <w:rPr>
                <w:rFonts w:cs="Arial"/>
                <w:sz w:val="15"/>
                <w:szCs w:val="15"/>
                <w:lang w:val="en-GB"/>
              </w:rPr>
            </w:pPr>
            <w:r w:rsidRPr="00720C2B">
              <w:rPr>
                <w:rFonts w:cs="Arial"/>
                <w:sz w:val="15"/>
                <w:szCs w:val="15"/>
                <w:lang w:val="en-GB"/>
              </w:rPr>
              <w:t>/</w:t>
            </w:r>
          </w:p>
        </w:tc>
      </w:tr>
      <w:tr w:rsidR="00720C2B" w:rsidRPr="00720C2B" w14:paraId="6390FE3F" w14:textId="77777777" w:rsidTr="00353AAD">
        <w:trPr>
          <w:jc w:val="center"/>
        </w:trPr>
        <w:tc>
          <w:tcPr>
            <w:tcW w:w="1531" w:type="dxa"/>
            <w:vAlign w:val="center"/>
          </w:tcPr>
          <w:p w14:paraId="414FB554" w14:textId="77777777" w:rsidR="00720C2B" w:rsidRPr="00720C2B" w:rsidRDefault="00720C2B" w:rsidP="00720C2B">
            <w:pPr>
              <w:numPr>
                <w:ilvl w:val="0"/>
                <w:numId w:val="31"/>
              </w:numPr>
              <w:spacing w:line="240" w:lineRule="atLeast"/>
              <w:ind w:left="489" w:hanging="489"/>
              <w:contextualSpacing/>
              <w:rPr>
                <w:rFonts w:eastAsia="Calibri" w:cs="Arial"/>
                <w:kern w:val="2"/>
                <w:sz w:val="15"/>
                <w:szCs w:val="15"/>
                <w:lang w:val="sl-SI"/>
                <w14:ligatures w14:val="standardContextual"/>
              </w:rPr>
            </w:pPr>
            <w:r w:rsidRPr="00720C2B">
              <w:rPr>
                <w:rFonts w:eastAsia="Calibri" w:cs="Arial"/>
                <w:kern w:val="2"/>
                <w:sz w:val="15"/>
                <w:szCs w:val="15"/>
                <w:lang w:val="sl-SI"/>
                <w14:ligatures w14:val="standardContextual"/>
              </w:rPr>
              <w:t>Grčija</w:t>
            </w:r>
          </w:p>
        </w:tc>
        <w:tc>
          <w:tcPr>
            <w:tcW w:w="2221" w:type="dxa"/>
            <w:vAlign w:val="center"/>
          </w:tcPr>
          <w:p w14:paraId="29EC38B3" w14:textId="77777777" w:rsidR="00720C2B" w:rsidRPr="00720C2B" w:rsidRDefault="00720C2B" w:rsidP="00720C2B">
            <w:pPr>
              <w:spacing w:line="240" w:lineRule="atLeast"/>
              <w:jc w:val="center"/>
              <w:rPr>
                <w:rFonts w:cs="Arial"/>
                <w:sz w:val="15"/>
                <w:szCs w:val="15"/>
                <w:lang w:val="en-GB"/>
              </w:rPr>
            </w:pPr>
            <w:r w:rsidRPr="00720C2B">
              <w:rPr>
                <w:rFonts w:cs="Arial"/>
                <w:sz w:val="15"/>
                <w:szCs w:val="15"/>
                <w:lang w:val="en-GB"/>
              </w:rPr>
              <w:t>/</w:t>
            </w:r>
          </w:p>
        </w:tc>
        <w:tc>
          <w:tcPr>
            <w:tcW w:w="2087" w:type="dxa"/>
            <w:vAlign w:val="center"/>
          </w:tcPr>
          <w:p w14:paraId="6647F50E" w14:textId="77777777" w:rsidR="00720C2B" w:rsidRPr="00720C2B" w:rsidRDefault="00720C2B" w:rsidP="00720C2B">
            <w:pPr>
              <w:spacing w:line="240" w:lineRule="atLeast"/>
              <w:jc w:val="center"/>
              <w:rPr>
                <w:rFonts w:cs="Arial"/>
                <w:sz w:val="15"/>
                <w:szCs w:val="15"/>
                <w:lang w:val="en-GB"/>
              </w:rPr>
            </w:pPr>
            <w:r w:rsidRPr="00720C2B">
              <w:rPr>
                <w:rFonts w:cs="Arial"/>
                <w:sz w:val="15"/>
                <w:szCs w:val="15"/>
                <w:lang w:val="en-GB"/>
              </w:rPr>
              <w:t>/</w:t>
            </w:r>
          </w:p>
        </w:tc>
        <w:tc>
          <w:tcPr>
            <w:tcW w:w="2649" w:type="dxa"/>
            <w:vAlign w:val="center"/>
          </w:tcPr>
          <w:p w14:paraId="7191059B" w14:textId="77777777" w:rsidR="00720C2B" w:rsidRPr="00720C2B" w:rsidRDefault="00720C2B" w:rsidP="00720C2B">
            <w:pPr>
              <w:spacing w:line="240" w:lineRule="atLeast"/>
              <w:jc w:val="center"/>
              <w:rPr>
                <w:rFonts w:cs="Arial"/>
                <w:sz w:val="15"/>
                <w:szCs w:val="15"/>
                <w:lang w:val="en-GB"/>
              </w:rPr>
            </w:pPr>
            <w:r w:rsidRPr="00720C2B">
              <w:rPr>
                <w:rFonts w:cs="Arial"/>
                <w:sz w:val="15"/>
                <w:szCs w:val="15"/>
                <w:lang w:val="en-GB"/>
              </w:rPr>
              <w:t>/</w:t>
            </w:r>
          </w:p>
        </w:tc>
      </w:tr>
      <w:tr w:rsidR="00720C2B" w:rsidRPr="00720C2B" w14:paraId="30A421D1" w14:textId="77777777" w:rsidTr="00353AAD">
        <w:trPr>
          <w:jc w:val="center"/>
        </w:trPr>
        <w:tc>
          <w:tcPr>
            <w:tcW w:w="1531" w:type="dxa"/>
            <w:vAlign w:val="center"/>
          </w:tcPr>
          <w:p w14:paraId="4C76A94D" w14:textId="77777777" w:rsidR="00720C2B" w:rsidRPr="00720C2B" w:rsidRDefault="00720C2B" w:rsidP="00720C2B">
            <w:pPr>
              <w:numPr>
                <w:ilvl w:val="0"/>
                <w:numId w:val="31"/>
              </w:numPr>
              <w:spacing w:line="240" w:lineRule="atLeast"/>
              <w:ind w:left="489" w:hanging="489"/>
              <w:contextualSpacing/>
              <w:rPr>
                <w:rFonts w:eastAsia="Calibri" w:cs="Arial"/>
                <w:kern w:val="2"/>
                <w:sz w:val="15"/>
                <w:szCs w:val="15"/>
                <w:lang w:val="sl-SI"/>
                <w14:ligatures w14:val="standardContextual"/>
              </w:rPr>
            </w:pPr>
            <w:r w:rsidRPr="00720C2B">
              <w:rPr>
                <w:rFonts w:eastAsia="Calibri" w:cs="Arial"/>
                <w:kern w:val="2"/>
                <w:sz w:val="15"/>
                <w:szCs w:val="15"/>
                <w:lang w:val="sl-SI"/>
                <w14:ligatures w14:val="standardContextual"/>
              </w:rPr>
              <w:t>Madžarska</w:t>
            </w:r>
          </w:p>
        </w:tc>
        <w:tc>
          <w:tcPr>
            <w:tcW w:w="2221" w:type="dxa"/>
            <w:vAlign w:val="center"/>
          </w:tcPr>
          <w:p w14:paraId="7F49D6D2" w14:textId="77777777" w:rsidR="00720C2B" w:rsidRPr="00720C2B" w:rsidRDefault="00720C2B" w:rsidP="00720C2B">
            <w:pPr>
              <w:spacing w:line="240" w:lineRule="atLeast"/>
              <w:jc w:val="center"/>
              <w:rPr>
                <w:rFonts w:cs="Arial"/>
                <w:sz w:val="15"/>
                <w:szCs w:val="15"/>
                <w:lang w:val="en-GB"/>
              </w:rPr>
            </w:pPr>
            <w:r w:rsidRPr="00720C2B">
              <w:rPr>
                <w:rFonts w:cs="Arial"/>
                <w:sz w:val="15"/>
                <w:szCs w:val="15"/>
                <w:lang w:val="en-GB"/>
              </w:rPr>
              <w:t>The National Data Asset Agency</w:t>
            </w:r>
          </w:p>
        </w:tc>
        <w:tc>
          <w:tcPr>
            <w:tcW w:w="4736" w:type="dxa"/>
            <w:gridSpan w:val="2"/>
            <w:vAlign w:val="center"/>
          </w:tcPr>
          <w:p w14:paraId="4EC32D0D" w14:textId="77777777" w:rsidR="00720C2B" w:rsidRPr="00720C2B" w:rsidRDefault="00720C2B" w:rsidP="00720C2B">
            <w:pPr>
              <w:spacing w:line="240" w:lineRule="atLeast"/>
              <w:jc w:val="center"/>
              <w:rPr>
                <w:rFonts w:cs="Arial"/>
                <w:sz w:val="15"/>
                <w:szCs w:val="15"/>
                <w:lang w:val="en-GB"/>
              </w:rPr>
            </w:pPr>
            <w:r w:rsidRPr="00720C2B">
              <w:rPr>
                <w:rFonts w:cs="Arial"/>
                <w:sz w:val="15"/>
                <w:szCs w:val="15"/>
                <w:lang w:val="en-GB"/>
              </w:rPr>
              <w:t>The National Data Protection and Freedom of Information Authority</w:t>
            </w:r>
          </w:p>
        </w:tc>
      </w:tr>
      <w:tr w:rsidR="00720C2B" w:rsidRPr="00720C2B" w14:paraId="1009D8D1" w14:textId="77777777" w:rsidTr="00353AAD">
        <w:trPr>
          <w:jc w:val="center"/>
        </w:trPr>
        <w:tc>
          <w:tcPr>
            <w:tcW w:w="1531" w:type="dxa"/>
            <w:vAlign w:val="center"/>
          </w:tcPr>
          <w:p w14:paraId="23B21D74" w14:textId="77777777" w:rsidR="00720C2B" w:rsidRPr="00720C2B" w:rsidRDefault="00720C2B" w:rsidP="00720C2B">
            <w:pPr>
              <w:numPr>
                <w:ilvl w:val="0"/>
                <w:numId w:val="31"/>
              </w:numPr>
              <w:spacing w:line="240" w:lineRule="atLeast"/>
              <w:ind w:left="489" w:hanging="489"/>
              <w:contextualSpacing/>
              <w:rPr>
                <w:rFonts w:eastAsia="Calibri" w:cs="Arial"/>
                <w:kern w:val="2"/>
                <w:sz w:val="15"/>
                <w:szCs w:val="15"/>
                <w:lang w:val="sl-SI"/>
                <w14:ligatures w14:val="standardContextual"/>
              </w:rPr>
            </w:pPr>
            <w:r w:rsidRPr="00720C2B">
              <w:rPr>
                <w:rFonts w:eastAsia="Calibri" w:cs="Arial"/>
                <w:kern w:val="2"/>
                <w:sz w:val="15"/>
                <w:szCs w:val="15"/>
                <w:lang w:val="sl-SI"/>
                <w14:ligatures w14:val="standardContextual"/>
              </w:rPr>
              <w:t>Irska</w:t>
            </w:r>
          </w:p>
        </w:tc>
        <w:tc>
          <w:tcPr>
            <w:tcW w:w="2221" w:type="dxa"/>
            <w:vAlign w:val="center"/>
          </w:tcPr>
          <w:p w14:paraId="0320AC68" w14:textId="77777777" w:rsidR="00720C2B" w:rsidRPr="00720C2B" w:rsidRDefault="00720C2B" w:rsidP="00720C2B">
            <w:pPr>
              <w:spacing w:line="240" w:lineRule="atLeast"/>
              <w:jc w:val="center"/>
              <w:rPr>
                <w:rFonts w:cs="Arial"/>
                <w:sz w:val="15"/>
                <w:szCs w:val="15"/>
                <w:lang w:val="en-GB"/>
              </w:rPr>
            </w:pPr>
            <w:r w:rsidRPr="00720C2B">
              <w:rPr>
                <w:rFonts w:cs="Arial"/>
                <w:sz w:val="15"/>
                <w:szCs w:val="15"/>
                <w:lang w:val="en-GB"/>
              </w:rPr>
              <w:t>Researcher Co-ordination Unit, Central Statistics Office (CSO)</w:t>
            </w:r>
          </w:p>
        </w:tc>
        <w:tc>
          <w:tcPr>
            <w:tcW w:w="4736" w:type="dxa"/>
            <w:gridSpan w:val="2"/>
            <w:vAlign w:val="center"/>
          </w:tcPr>
          <w:p w14:paraId="1782CD47" w14:textId="77777777" w:rsidR="00720C2B" w:rsidRPr="00720C2B" w:rsidRDefault="00720C2B" w:rsidP="00720C2B">
            <w:pPr>
              <w:spacing w:line="240" w:lineRule="atLeast"/>
              <w:jc w:val="center"/>
              <w:rPr>
                <w:rFonts w:cs="Arial"/>
                <w:sz w:val="15"/>
                <w:szCs w:val="15"/>
                <w:lang w:val="en-GB"/>
              </w:rPr>
            </w:pPr>
            <w:r w:rsidRPr="00720C2B">
              <w:rPr>
                <w:rFonts w:cs="Arial"/>
                <w:sz w:val="15"/>
                <w:szCs w:val="15"/>
                <w:lang w:val="en-GB"/>
              </w:rPr>
              <w:t>The Competition and Consumer Protection Commission</w:t>
            </w:r>
          </w:p>
        </w:tc>
      </w:tr>
      <w:tr w:rsidR="00720C2B" w:rsidRPr="00720C2B" w14:paraId="2FB68280" w14:textId="77777777" w:rsidTr="00353AAD">
        <w:trPr>
          <w:jc w:val="center"/>
        </w:trPr>
        <w:tc>
          <w:tcPr>
            <w:tcW w:w="1531" w:type="dxa"/>
            <w:vAlign w:val="center"/>
          </w:tcPr>
          <w:p w14:paraId="64CF80FF" w14:textId="77777777" w:rsidR="00720C2B" w:rsidRPr="00720C2B" w:rsidRDefault="00720C2B" w:rsidP="00720C2B">
            <w:pPr>
              <w:numPr>
                <w:ilvl w:val="0"/>
                <w:numId w:val="31"/>
              </w:numPr>
              <w:spacing w:line="240" w:lineRule="atLeast"/>
              <w:ind w:left="489" w:hanging="489"/>
              <w:contextualSpacing/>
              <w:rPr>
                <w:rFonts w:eastAsia="Calibri" w:cs="Arial"/>
                <w:kern w:val="2"/>
                <w:sz w:val="15"/>
                <w:szCs w:val="15"/>
                <w:lang w:val="sl-SI"/>
                <w14:ligatures w14:val="standardContextual"/>
              </w:rPr>
            </w:pPr>
            <w:r w:rsidRPr="00720C2B">
              <w:rPr>
                <w:rFonts w:eastAsia="Calibri" w:cs="Arial"/>
                <w:kern w:val="2"/>
                <w:sz w:val="15"/>
                <w:szCs w:val="15"/>
                <w:lang w:val="sl-SI"/>
                <w14:ligatures w14:val="standardContextual"/>
              </w:rPr>
              <w:t>Italija</w:t>
            </w:r>
          </w:p>
        </w:tc>
        <w:tc>
          <w:tcPr>
            <w:tcW w:w="2221" w:type="dxa"/>
            <w:vAlign w:val="center"/>
          </w:tcPr>
          <w:p w14:paraId="0794A3E3" w14:textId="77777777" w:rsidR="00720C2B" w:rsidRPr="00720C2B" w:rsidRDefault="00720C2B" w:rsidP="00720C2B">
            <w:pPr>
              <w:spacing w:line="240" w:lineRule="atLeast"/>
              <w:jc w:val="center"/>
              <w:rPr>
                <w:rFonts w:cs="Arial"/>
                <w:sz w:val="15"/>
                <w:szCs w:val="15"/>
                <w:lang w:val="en-GB"/>
              </w:rPr>
            </w:pPr>
            <w:r w:rsidRPr="00720C2B">
              <w:rPr>
                <w:rFonts w:cs="Arial"/>
                <w:sz w:val="15"/>
                <w:szCs w:val="15"/>
                <w:lang w:val="en-GB"/>
              </w:rPr>
              <w:t>/</w:t>
            </w:r>
          </w:p>
        </w:tc>
        <w:tc>
          <w:tcPr>
            <w:tcW w:w="2087" w:type="dxa"/>
            <w:vAlign w:val="center"/>
          </w:tcPr>
          <w:p w14:paraId="6C5FE87F" w14:textId="77777777" w:rsidR="00720C2B" w:rsidRPr="00720C2B" w:rsidRDefault="00720C2B" w:rsidP="00720C2B">
            <w:pPr>
              <w:spacing w:line="240" w:lineRule="atLeast"/>
              <w:jc w:val="center"/>
              <w:rPr>
                <w:rFonts w:cs="Arial"/>
                <w:sz w:val="15"/>
                <w:szCs w:val="15"/>
                <w:lang w:val="en-GB"/>
              </w:rPr>
            </w:pPr>
            <w:r w:rsidRPr="00720C2B">
              <w:rPr>
                <w:rFonts w:cs="Arial"/>
                <w:sz w:val="15"/>
                <w:szCs w:val="15"/>
                <w:lang w:val="en-GB"/>
              </w:rPr>
              <w:t>/</w:t>
            </w:r>
          </w:p>
        </w:tc>
        <w:tc>
          <w:tcPr>
            <w:tcW w:w="2649" w:type="dxa"/>
            <w:vAlign w:val="center"/>
          </w:tcPr>
          <w:p w14:paraId="36673058" w14:textId="77777777" w:rsidR="00720C2B" w:rsidRPr="00720C2B" w:rsidRDefault="00720C2B" w:rsidP="00720C2B">
            <w:pPr>
              <w:spacing w:line="240" w:lineRule="atLeast"/>
              <w:jc w:val="center"/>
              <w:rPr>
                <w:rFonts w:cs="Arial"/>
                <w:sz w:val="15"/>
                <w:szCs w:val="15"/>
                <w:lang w:val="en-GB"/>
              </w:rPr>
            </w:pPr>
            <w:r w:rsidRPr="00720C2B">
              <w:rPr>
                <w:rFonts w:cs="Arial"/>
                <w:sz w:val="15"/>
                <w:szCs w:val="15"/>
                <w:lang w:val="en-GB"/>
              </w:rPr>
              <w:t>/</w:t>
            </w:r>
          </w:p>
        </w:tc>
      </w:tr>
      <w:tr w:rsidR="00720C2B" w:rsidRPr="00720C2B" w14:paraId="6C18AC29" w14:textId="77777777" w:rsidTr="00353AAD">
        <w:trPr>
          <w:jc w:val="center"/>
        </w:trPr>
        <w:tc>
          <w:tcPr>
            <w:tcW w:w="1531" w:type="dxa"/>
            <w:vAlign w:val="center"/>
          </w:tcPr>
          <w:p w14:paraId="07B93CDF" w14:textId="77777777" w:rsidR="00720C2B" w:rsidRPr="00720C2B" w:rsidRDefault="00720C2B" w:rsidP="00720C2B">
            <w:pPr>
              <w:numPr>
                <w:ilvl w:val="0"/>
                <w:numId w:val="31"/>
              </w:numPr>
              <w:spacing w:line="240" w:lineRule="atLeast"/>
              <w:ind w:left="489" w:hanging="489"/>
              <w:contextualSpacing/>
              <w:rPr>
                <w:rFonts w:eastAsia="Calibri" w:cs="Arial"/>
                <w:kern w:val="2"/>
                <w:sz w:val="15"/>
                <w:szCs w:val="15"/>
                <w:lang w:val="sl-SI"/>
                <w14:ligatures w14:val="standardContextual"/>
              </w:rPr>
            </w:pPr>
            <w:r w:rsidRPr="00720C2B">
              <w:rPr>
                <w:rFonts w:eastAsia="Calibri" w:cs="Arial"/>
                <w:kern w:val="2"/>
                <w:sz w:val="15"/>
                <w:szCs w:val="15"/>
                <w:lang w:val="sl-SI"/>
                <w14:ligatures w14:val="standardContextual"/>
              </w:rPr>
              <w:t>Latvija</w:t>
            </w:r>
          </w:p>
        </w:tc>
        <w:tc>
          <w:tcPr>
            <w:tcW w:w="6957" w:type="dxa"/>
            <w:gridSpan w:val="3"/>
            <w:vAlign w:val="center"/>
          </w:tcPr>
          <w:p w14:paraId="6860FEB7" w14:textId="77777777" w:rsidR="00720C2B" w:rsidRPr="00720C2B" w:rsidRDefault="00720C2B" w:rsidP="00720C2B">
            <w:pPr>
              <w:spacing w:line="240" w:lineRule="atLeast"/>
              <w:jc w:val="center"/>
              <w:rPr>
                <w:rFonts w:cs="Arial"/>
                <w:sz w:val="15"/>
                <w:szCs w:val="15"/>
                <w:lang w:val="en-GB"/>
              </w:rPr>
            </w:pPr>
            <w:r w:rsidRPr="00720C2B">
              <w:rPr>
                <w:rFonts w:cs="Arial"/>
                <w:sz w:val="15"/>
                <w:szCs w:val="15"/>
                <w:lang w:val="en-GB"/>
              </w:rPr>
              <w:t>Ministry of Environmental Protection and Regional Development Republic of Latvia</w:t>
            </w:r>
          </w:p>
        </w:tc>
      </w:tr>
      <w:tr w:rsidR="00720C2B" w:rsidRPr="00720C2B" w14:paraId="135FD15C" w14:textId="77777777" w:rsidTr="00353AAD">
        <w:trPr>
          <w:jc w:val="center"/>
        </w:trPr>
        <w:tc>
          <w:tcPr>
            <w:tcW w:w="1531" w:type="dxa"/>
            <w:vAlign w:val="center"/>
          </w:tcPr>
          <w:p w14:paraId="0991A080" w14:textId="77777777" w:rsidR="00720C2B" w:rsidRPr="00720C2B" w:rsidRDefault="00720C2B" w:rsidP="00720C2B">
            <w:pPr>
              <w:numPr>
                <w:ilvl w:val="0"/>
                <w:numId w:val="31"/>
              </w:numPr>
              <w:spacing w:line="240" w:lineRule="atLeast"/>
              <w:ind w:left="489" w:hanging="489"/>
              <w:contextualSpacing/>
              <w:rPr>
                <w:rFonts w:eastAsia="Calibri" w:cs="Arial"/>
                <w:kern w:val="2"/>
                <w:sz w:val="15"/>
                <w:szCs w:val="15"/>
                <w:lang w:val="sl-SI"/>
                <w14:ligatures w14:val="standardContextual"/>
              </w:rPr>
            </w:pPr>
            <w:r w:rsidRPr="00720C2B">
              <w:rPr>
                <w:rFonts w:eastAsia="Calibri" w:cs="Arial"/>
                <w:kern w:val="2"/>
                <w:sz w:val="15"/>
                <w:szCs w:val="15"/>
                <w:lang w:val="sl-SI"/>
                <w14:ligatures w14:val="standardContextual"/>
              </w:rPr>
              <w:t>Litva</w:t>
            </w:r>
          </w:p>
        </w:tc>
        <w:tc>
          <w:tcPr>
            <w:tcW w:w="2221" w:type="dxa"/>
            <w:vAlign w:val="center"/>
          </w:tcPr>
          <w:p w14:paraId="32C70EDD" w14:textId="77777777" w:rsidR="00720C2B" w:rsidRPr="00720C2B" w:rsidRDefault="00720C2B" w:rsidP="00720C2B">
            <w:pPr>
              <w:spacing w:line="240" w:lineRule="atLeast"/>
              <w:jc w:val="center"/>
              <w:rPr>
                <w:rFonts w:cs="Arial"/>
                <w:sz w:val="15"/>
                <w:szCs w:val="15"/>
                <w:lang w:val="en-GB"/>
              </w:rPr>
            </w:pPr>
            <w:r w:rsidRPr="00720C2B">
              <w:rPr>
                <w:rFonts w:cs="Arial"/>
                <w:sz w:val="15"/>
                <w:szCs w:val="15"/>
                <w:lang w:val="en-GB"/>
              </w:rPr>
              <w:t>The State Data Agency</w:t>
            </w:r>
          </w:p>
        </w:tc>
        <w:tc>
          <w:tcPr>
            <w:tcW w:w="4736" w:type="dxa"/>
            <w:gridSpan w:val="2"/>
            <w:vAlign w:val="center"/>
          </w:tcPr>
          <w:p w14:paraId="19920F40" w14:textId="77777777" w:rsidR="00720C2B" w:rsidRPr="00720C2B" w:rsidRDefault="00720C2B" w:rsidP="00720C2B">
            <w:pPr>
              <w:spacing w:line="240" w:lineRule="atLeast"/>
              <w:jc w:val="center"/>
              <w:rPr>
                <w:rFonts w:cs="Arial"/>
                <w:sz w:val="15"/>
                <w:szCs w:val="15"/>
                <w:lang w:val="en-GB"/>
              </w:rPr>
            </w:pPr>
            <w:r w:rsidRPr="00720C2B">
              <w:rPr>
                <w:rFonts w:cs="Arial"/>
                <w:sz w:val="15"/>
                <w:szCs w:val="15"/>
                <w:lang w:val="en-GB"/>
              </w:rPr>
              <w:t>The State Data Protection Inspectorate</w:t>
            </w:r>
          </w:p>
        </w:tc>
      </w:tr>
      <w:tr w:rsidR="00720C2B" w:rsidRPr="00720C2B" w14:paraId="43B0743A" w14:textId="77777777" w:rsidTr="00353AAD">
        <w:trPr>
          <w:jc w:val="center"/>
        </w:trPr>
        <w:tc>
          <w:tcPr>
            <w:tcW w:w="1531" w:type="dxa"/>
            <w:vAlign w:val="center"/>
          </w:tcPr>
          <w:p w14:paraId="5DEF785B" w14:textId="77777777" w:rsidR="00720C2B" w:rsidRPr="00720C2B" w:rsidRDefault="00720C2B" w:rsidP="00720C2B">
            <w:pPr>
              <w:numPr>
                <w:ilvl w:val="0"/>
                <w:numId w:val="31"/>
              </w:numPr>
              <w:spacing w:line="240" w:lineRule="atLeast"/>
              <w:ind w:left="489" w:hanging="489"/>
              <w:contextualSpacing/>
              <w:rPr>
                <w:rFonts w:eastAsia="Calibri" w:cs="Arial"/>
                <w:kern w:val="2"/>
                <w:sz w:val="15"/>
                <w:szCs w:val="15"/>
                <w:lang w:val="sl-SI"/>
                <w14:ligatures w14:val="standardContextual"/>
              </w:rPr>
            </w:pPr>
            <w:r w:rsidRPr="00720C2B">
              <w:rPr>
                <w:rFonts w:eastAsia="Calibri" w:cs="Arial"/>
                <w:kern w:val="2"/>
                <w:sz w:val="15"/>
                <w:szCs w:val="15"/>
                <w:lang w:val="sl-SI"/>
                <w14:ligatures w14:val="standardContextual"/>
              </w:rPr>
              <w:t>Luksemburg</w:t>
            </w:r>
          </w:p>
        </w:tc>
        <w:tc>
          <w:tcPr>
            <w:tcW w:w="2221" w:type="dxa"/>
            <w:vAlign w:val="center"/>
          </w:tcPr>
          <w:p w14:paraId="46E93544" w14:textId="77777777" w:rsidR="00720C2B" w:rsidRPr="00720C2B" w:rsidRDefault="00720C2B" w:rsidP="00720C2B">
            <w:pPr>
              <w:spacing w:line="240" w:lineRule="atLeast"/>
              <w:jc w:val="center"/>
              <w:rPr>
                <w:rFonts w:cs="Arial"/>
                <w:sz w:val="15"/>
                <w:szCs w:val="15"/>
                <w:lang w:val="en-GB"/>
              </w:rPr>
            </w:pPr>
            <w:r w:rsidRPr="00720C2B">
              <w:rPr>
                <w:rFonts w:cs="Arial"/>
                <w:sz w:val="15"/>
                <w:szCs w:val="15"/>
                <w:lang w:val="en-GB"/>
              </w:rPr>
              <w:t>/</w:t>
            </w:r>
          </w:p>
        </w:tc>
        <w:tc>
          <w:tcPr>
            <w:tcW w:w="4736" w:type="dxa"/>
            <w:gridSpan w:val="2"/>
            <w:vAlign w:val="center"/>
          </w:tcPr>
          <w:p w14:paraId="7BAD555B" w14:textId="77777777" w:rsidR="00720C2B" w:rsidRPr="00720C2B" w:rsidRDefault="00720C2B" w:rsidP="00720C2B">
            <w:pPr>
              <w:spacing w:line="240" w:lineRule="atLeast"/>
              <w:jc w:val="center"/>
              <w:rPr>
                <w:rFonts w:cs="Arial"/>
                <w:sz w:val="15"/>
                <w:szCs w:val="15"/>
                <w:lang w:val="en-GB"/>
              </w:rPr>
            </w:pPr>
            <w:r w:rsidRPr="00720C2B">
              <w:rPr>
                <w:rFonts w:cs="Arial"/>
                <w:sz w:val="15"/>
                <w:szCs w:val="15"/>
                <w:lang w:val="en-GB"/>
              </w:rPr>
              <w:t>Ministry of State, Department of Media, Connectivity and Digital Policy</w:t>
            </w:r>
          </w:p>
        </w:tc>
      </w:tr>
      <w:tr w:rsidR="00720C2B" w:rsidRPr="00720C2B" w14:paraId="1296846D" w14:textId="77777777" w:rsidTr="00353AAD">
        <w:trPr>
          <w:jc w:val="center"/>
        </w:trPr>
        <w:tc>
          <w:tcPr>
            <w:tcW w:w="1531" w:type="dxa"/>
            <w:vAlign w:val="center"/>
          </w:tcPr>
          <w:p w14:paraId="6367ABC3" w14:textId="77777777" w:rsidR="00720C2B" w:rsidRPr="00720C2B" w:rsidRDefault="00720C2B" w:rsidP="00720C2B">
            <w:pPr>
              <w:numPr>
                <w:ilvl w:val="0"/>
                <w:numId w:val="31"/>
              </w:numPr>
              <w:spacing w:line="240" w:lineRule="atLeast"/>
              <w:ind w:left="489" w:hanging="489"/>
              <w:contextualSpacing/>
              <w:rPr>
                <w:rFonts w:eastAsia="Calibri" w:cs="Arial"/>
                <w:kern w:val="2"/>
                <w:sz w:val="15"/>
                <w:szCs w:val="15"/>
                <w:lang w:val="sl-SI"/>
                <w14:ligatures w14:val="standardContextual"/>
              </w:rPr>
            </w:pPr>
            <w:r w:rsidRPr="00720C2B">
              <w:rPr>
                <w:rFonts w:eastAsia="Calibri" w:cs="Arial"/>
                <w:kern w:val="2"/>
                <w:sz w:val="15"/>
                <w:szCs w:val="15"/>
                <w:lang w:val="sl-SI"/>
                <w14:ligatures w14:val="standardContextual"/>
              </w:rPr>
              <w:t>Malta</w:t>
            </w:r>
          </w:p>
        </w:tc>
        <w:tc>
          <w:tcPr>
            <w:tcW w:w="2221" w:type="dxa"/>
            <w:vAlign w:val="center"/>
          </w:tcPr>
          <w:p w14:paraId="1B3537C0" w14:textId="77777777" w:rsidR="00720C2B" w:rsidRPr="00720C2B" w:rsidRDefault="00720C2B" w:rsidP="00720C2B">
            <w:pPr>
              <w:spacing w:line="240" w:lineRule="atLeast"/>
              <w:jc w:val="center"/>
              <w:rPr>
                <w:rFonts w:cs="Arial"/>
                <w:sz w:val="15"/>
                <w:szCs w:val="15"/>
                <w:lang w:val="en-GB"/>
              </w:rPr>
            </w:pPr>
            <w:r w:rsidRPr="00720C2B">
              <w:rPr>
                <w:rFonts w:cs="Arial"/>
                <w:sz w:val="15"/>
                <w:szCs w:val="15"/>
                <w:lang w:val="en-GB"/>
              </w:rPr>
              <w:t>/</w:t>
            </w:r>
          </w:p>
        </w:tc>
        <w:tc>
          <w:tcPr>
            <w:tcW w:w="2087" w:type="dxa"/>
            <w:vAlign w:val="center"/>
          </w:tcPr>
          <w:p w14:paraId="63A88768" w14:textId="77777777" w:rsidR="00720C2B" w:rsidRPr="00720C2B" w:rsidRDefault="00720C2B" w:rsidP="00720C2B">
            <w:pPr>
              <w:spacing w:line="240" w:lineRule="atLeast"/>
              <w:jc w:val="center"/>
              <w:rPr>
                <w:rFonts w:cs="Arial"/>
                <w:sz w:val="15"/>
                <w:szCs w:val="15"/>
                <w:lang w:val="en-GB"/>
              </w:rPr>
            </w:pPr>
            <w:r w:rsidRPr="00720C2B">
              <w:rPr>
                <w:rFonts w:cs="Arial"/>
                <w:sz w:val="15"/>
                <w:szCs w:val="15"/>
                <w:lang w:val="en-GB"/>
              </w:rPr>
              <w:t>/</w:t>
            </w:r>
          </w:p>
        </w:tc>
        <w:tc>
          <w:tcPr>
            <w:tcW w:w="2649" w:type="dxa"/>
            <w:vAlign w:val="center"/>
          </w:tcPr>
          <w:p w14:paraId="535F85A2" w14:textId="77777777" w:rsidR="00720C2B" w:rsidRPr="00720C2B" w:rsidRDefault="00720C2B" w:rsidP="00720C2B">
            <w:pPr>
              <w:spacing w:line="240" w:lineRule="atLeast"/>
              <w:jc w:val="center"/>
              <w:rPr>
                <w:rFonts w:cs="Arial"/>
                <w:sz w:val="15"/>
                <w:szCs w:val="15"/>
                <w:lang w:val="en-GB"/>
              </w:rPr>
            </w:pPr>
            <w:r w:rsidRPr="00720C2B">
              <w:rPr>
                <w:rFonts w:cs="Arial"/>
                <w:sz w:val="15"/>
                <w:szCs w:val="15"/>
                <w:lang w:val="en-GB"/>
              </w:rPr>
              <w:t>/</w:t>
            </w:r>
          </w:p>
        </w:tc>
      </w:tr>
      <w:tr w:rsidR="00720C2B" w:rsidRPr="00720C2B" w14:paraId="7497A999" w14:textId="77777777" w:rsidTr="00353AAD">
        <w:trPr>
          <w:jc w:val="center"/>
        </w:trPr>
        <w:tc>
          <w:tcPr>
            <w:tcW w:w="1531" w:type="dxa"/>
            <w:vAlign w:val="center"/>
          </w:tcPr>
          <w:p w14:paraId="336304A4" w14:textId="77777777" w:rsidR="00720C2B" w:rsidRPr="00720C2B" w:rsidRDefault="00720C2B" w:rsidP="00720C2B">
            <w:pPr>
              <w:numPr>
                <w:ilvl w:val="0"/>
                <w:numId w:val="31"/>
              </w:numPr>
              <w:spacing w:line="240" w:lineRule="atLeast"/>
              <w:ind w:left="489" w:hanging="489"/>
              <w:contextualSpacing/>
              <w:rPr>
                <w:rFonts w:eastAsia="Calibri" w:cs="Arial"/>
                <w:kern w:val="2"/>
                <w:sz w:val="15"/>
                <w:szCs w:val="15"/>
                <w:lang w:val="sl-SI"/>
                <w14:ligatures w14:val="standardContextual"/>
              </w:rPr>
            </w:pPr>
            <w:r w:rsidRPr="00720C2B">
              <w:rPr>
                <w:rFonts w:eastAsia="Calibri" w:cs="Arial"/>
                <w:kern w:val="2"/>
                <w:sz w:val="15"/>
                <w:szCs w:val="15"/>
                <w:lang w:val="sl-SI"/>
                <w14:ligatures w14:val="standardContextual"/>
              </w:rPr>
              <w:t>Nizozemska</w:t>
            </w:r>
          </w:p>
        </w:tc>
        <w:tc>
          <w:tcPr>
            <w:tcW w:w="2221" w:type="dxa"/>
            <w:vAlign w:val="center"/>
          </w:tcPr>
          <w:p w14:paraId="78B5E682" w14:textId="77777777" w:rsidR="00720C2B" w:rsidRPr="00720C2B" w:rsidRDefault="00720C2B" w:rsidP="00720C2B">
            <w:pPr>
              <w:spacing w:line="240" w:lineRule="atLeast"/>
              <w:jc w:val="center"/>
              <w:rPr>
                <w:rFonts w:cs="Arial"/>
                <w:sz w:val="15"/>
                <w:szCs w:val="15"/>
                <w:lang w:val="en-GB"/>
              </w:rPr>
            </w:pPr>
            <w:r w:rsidRPr="00720C2B">
              <w:rPr>
                <w:rFonts w:cs="Arial"/>
                <w:sz w:val="15"/>
                <w:szCs w:val="15"/>
                <w:lang w:val="en-GB"/>
              </w:rPr>
              <w:t>Statistics Netherlands</w:t>
            </w:r>
          </w:p>
        </w:tc>
        <w:tc>
          <w:tcPr>
            <w:tcW w:w="4736" w:type="dxa"/>
            <w:gridSpan w:val="2"/>
            <w:vAlign w:val="center"/>
          </w:tcPr>
          <w:p w14:paraId="75590EBF" w14:textId="77777777" w:rsidR="00720C2B" w:rsidRPr="00720C2B" w:rsidRDefault="00720C2B" w:rsidP="00720C2B">
            <w:pPr>
              <w:spacing w:line="240" w:lineRule="atLeast"/>
              <w:jc w:val="center"/>
              <w:rPr>
                <w:rFonts w:cs="Arial"/>
                <w:sz w:val="15"/>
                <w:szCs w:val="15"/>
                <w:lang w:val="en-GB"/>
              </w:rPr>
            </w:pPr>
            <w:r w:rsidRPr="00720C2B">
              <w:rPr>
                <w:rFonts w:cs="Arial"/>
                <w:sz w:val="15"/>
                <w:szCs w:val="15"/>
                <w:lang w:val="en-GB"/>
              </w:rPr>
              <w:t>The Authority for Consumers and Markets</w:t>
            </w:r>
          </w:p>
        </w:tc>
      </w:tr>
      <w:tr w:rsidR="00720C2B" w:rsidRPr="00720C2B" w14:paraId="3315B63B" w14:textId="77777777" w:rsidTr="00353AAD">
        <w:trPr>
          <w:jc w:val="center"/>
        </w:trPr>
        <w:tc>
          <w:tcPr>
            <w:tcW w:w="1531" w:type="dxa"/>
            <w:vAlign w:val="center"/>
          </w:tcPr>
          <w:p w14:paraId="7952484B" w14:textId="77777777" w:rsidR="00720C2B" w:rsidRPr="00720C2B" w:rsidRDefault="00720C2B" w:rsidP="00720C2B">
            <w:pPr>
              <w:numPr>
                <w:ilvl w:val="0"/>
                <w:numId w:val="31"/>
              </w:numPr>
              <w:spacing w:line="240" w:lineRule="atLeast"/>
              <w:ind w:left="489" w:hanging="489"/>
              <w:contextualSpacing/>
              <w:rPr>
                <w:rFonts w:eastAsia="Calibri" w:cs="Arial"/>
                <w:kern w:val="2"/>
                <w:sz w:val="15"/>
                <w:szCs w:val="15"/>
                <w:lang w:val="sl-SI"/>
                <w14:ligatures w14:val="standardContextual"/>
              </w:rPr>
            </w:pPr>
            <w:r w:rsidRPr="00720C2B">
              <w:rPr>
                <w:rFonts w:eastAsia="Calibri" w:cs="Arial"/>
                <w:kern w:val="2"/>
                <w:sz w:val="15"/>
                <w:szCs w:val="15"/>
                <w:lang w:val="sl-SI"/>
                <w14:ligatures w14:val="standardContextual"/>
              </w:rPr>
              <w:t>Poljska</w:t>
            </w:r>
          </w:p>
        </w:tc>
        <w:tc>
          <w:tcPr>
            <w:tcW w:w="2221" w:type="dxa"/>
            <w:vAlign w:val="center"/>
          </w:tcPr>
          <w:p w14:paraId="64AC4CDF" w14:textId="77777777" w:rsidR="00720C2B" w:rsidRPr="00720C2B" w:rsidRDefault="00720C2B" w:rsidP="00720C2B">
            <w:pPr>
              <w:spacing w:line="240" w:lineRule="atLeast"/>
              <w:jc w:val="center"/>
              <w:rPr>
                <w:rFonts w:cs="Arial"/>
                <w:sz w:val="15"/>
                <w:szCs w:val="15"/>
                <w:lang w:val="en-GB"/>
              </w:rPr>
            </w:pPr>
            <w:r w:rsidRPr="00720C2B">
              <w:rPr>
                <w:rFonts w:cs="Arial"/>
                <w:sz w:val="15"/>
                <w:szCs w:val="15"/>
                <w:lang w:val="en-GB"/>
              </w:rPr>
              <w:t>/</w:t>
            </w:r>
          </w:p>
        </w:tc>
        <w:tc>
          <w:tcPr>
            <w:tcW w:w="2087" w:type="dxa"/>
            <w:vAlign w:val="center"/>
          </w:tcPr>
          <w:p w14:paraId="410DE8F1" w14:textId="77777777" w:rsidR="00720C2B" w:rsidRPr="00720C2B" w:rsidRDefault="00720C2B" w:rsidP="00720C2B">
            <w:pPr>
              <w:spacing w:line="240" w:lineRule="atLeast"/>
              <w:jc w:val="center"/>
              <w:rPr>
                <w:rFonts w:cs="Arial"/>
                <w:sz w:val="15"/>
                <w:szCs w:val="15"/>
                <w:lang w:val="en-GB"/>
              </w:rPr>
            </w:pPr>
            <w:r w:rsidRPr="00720C2B">
              <w:rPr>
                <w:rFonts w:cs="Arial"/>
                <w:sz w:val="15"/>
                <w:szCs w:val="15"/>
                <w:lang w:val="en-GB"/>
              </w:rPr>
              <w:t>/</w:t>
            </w:r>
          </w:p>
        </w:tc>
        <w:tc>
          <w:tcPr>
            <w:tcW w:w="2649" w:type="dxa"/>
            <w:vAlign w:val="center"/>
          </w:tcPr>
          <w:p w14:paraId="4DAE4EE6" w14:textId="77777777" w:rsidR="00720C2B" w:rsidRPr="00720C2B" w:rsidRDefault="00720C2B" w:rsidP="00720C2B">
            <w:pPr>
              <w:spacing w:line="240" w:lineRule="atLeast"/>
              <w:jc w:val="center"/>
              <w:rPr>
                <w:rFonts w:cs="Arial"/>
                <w:sz w:val="15"/>
                <w:szCs w:val="15"/>
                <w:lang w:val="en-GB"/>
              </w:rPr>
            </w:pPr>
            <w:r w:rsidRPr="00720C2B">
              <w:rPr>
                <w:rFonts w:cs="Arial"/>
                <w:sz w:val="15"/>
                <w:szCs w:val="15"/>
                <w:lang w:val="en-GB"/>
              </w:rPr>
              <w:t>/</w:t>
            </w:r>
          </w:p>
        </w:tc>
      </w:tr>
      <w:tr w:rsidR="00720C2B" w:rsidRPr="00720C2B" w14:paraId="42E22E37" w14:textId="77777777" w:rsidTr="00353AAD">
        <w:trPr>
          <w:jc w:val="center"/>
        </w:trPr>
        <w:tc>
          <w:tcPr>
            <w:tcW w:w="1531" w:type="dxa"/>
            <w:vAlign w:val="center"/>
          </w:tcPr>
          <w:p w14:paraId="62FCC5C1" w14:textId="77777777" w:rsidR="00720C2B" w:rsidRPr="00720C2B" w:rsidRDefault="00720C2B" w:rsidP="00720C2B">
            <w:pPr>
              <w:numPr>
                <w:ilvl w:val="0"/>
                <w:numId w:val="31"/>
              </w:numPr>
              <w:spacing w:line="240" w:lineRule="atLeast"/>
              <w:ind w:left="489" w:hanging="489"/>
              <w:contextualSpacing/>
              <w:rPr>
                <w:rFonts w:eastAsia="Calibri" w:cs="Arial"/>
                <w:kern w:val="2"/>
                <w:sz w:val="15"/>
                <w:szCs w:val="15"/>
                <w:lang w:val="sl-SI"/>
                <w14:ligatures w14:val="standardContextual"/>
              </w:rPr>
            </w:pPr>
            <w:r w:rsidRPr="00720C2B">
              <w:rPr>
                <w:rFonts w:eastAsia="Calibri" w:cs="Arial"/>
                <w:kern w:val="2"/>
                <w:sz w:val="15"/>
                <w:szCs w:val="15"/>
                <w:lang w:val="sl-SI"/>
                <w14:ligatures w14:val="standardContextual"/>
              </w:rPr>
              <w:t>Portugalska</w:t>
            </w:r>
          </w:p>
        </w:tc>
        <w:tc>
          <w:tcPr>
            <w:tcW w:w="2221" w:type="dxa"/>
            <w:vAlign w:val="center"/>
          </w:tcPr>
          <w:p w14:paraId="163B7287" w14:textId="77777777" w:rsidR="00720C2B" w:rsidRPr="00720C2B" w:rsidRDefault="00720C2B" w:rsidP="00720C2B">
            <w:pPr>
              <w:spacing w:line="240" w:lineRule="atLeast"/>
              <w:jc w:val="center"/>
              <w:rPr>
                <w:rFonts w:cs="Arial"/>
                <w:sz w:val="15"/>
                <w:szCs w:val="15"/>
                <w:lang w:val="en-GB"/>
              </w:rPr>
            </w:pPr>
            <w:r w:rsidRPr="00720C2B">
              <w:rPr>
                <w:rFonts w:cs="Arial"/>
                <w:sz w:val="15"/>
                <w:szCs w:val="15"/>
                <w:lang w:val="en-GB"/>
              </w:rPr>
              <w:t>/</w:t>
            </w:r>
          </w:p>
        </w:tc>
        <w:tc>
          <w:tcPr>
            <w:tcW w:w="4736" w:type="dxa"/>
            <w:gridSpan w:val="2"/>
            <w:vAlign w:val="center"/>
          </w:tcPr>
          <w:p w14:paraId="01A570BA" w14:textId="77777777" w:rsidR="00720C2B" w:rsidRPr="00720C2B" w:rsidRDefault="00720C2B" w:rsidP="00720C2B">
            <w:pPr>
              <w:spacing w:line="240" w:lineRule="atLeast"/>
              <w:jc w:val="center"/>
              <w:rPr>
                <w:rFonts w:cs="Arial"/>
                <w:sz w:val="15"/>
                <w:szCs w:val="15"/>
                <w:lang w:val="en-GB"/>
              </w:rPr>
            </w:pPr>
            <w:r w:rsidRPr="00720C2B">
              <w:rPr>
                <w:rFonts w:cs="Arial"/>
                <w:sz w:val="15"/>
                <w:szCs w:val="15"/>
                <w:lang w:val="en-GB"/>
              </w:rPr>
              <w:t>Administrative Modernisation Agency</w:t>
            </w:r>
          </w:p>
        </w:tc>
      </w:tr>
      <w:tr w:rsidR="00720C2B" w:rsidRPr="00720C2B" w14:paraId="69C81E25" w14:textId="77777777" w:rsidTr="00353AAD">
        <w:trPr>
          <w:jc w:val="center"/>
        </w:trPr>
        <w:tc>
          <w:tcPr>
            <w:tcW w:w="1531" w:type="dxa"/>
            <w:vAlign w:val="center"/>
          </w:tcPr>
          <w:p w14:paraId="7A13D8FB" w14:textId="77777777" w:rsidR="00720C2B" w:rsidRPr="00720C2B" w:rsidRDefault="00720C2B" w:rsidP="00720C2B">
            <w:pPr>
              <w:numPr>
                <w:ilvl w:val="0"/>
                <w:numId w:val="31"/>
              </w:numPr>
              <w:spacing w:line="240" w:lineRule="atLeast"/>
              <w:ind w:left="489" w:hanging="489"/>
              <w:contextualSpacing/>
              <w:rPr>
                <w:rFonts w:eastAsia="Calibri" w:cs="Arial"/>
                <w:kern w:val="2"/>
                <w:sz w:val="15"/>
                <w:szCs w:val="15"/>
                <w:lang w:val="sl-SI"/>
                <w14:ligatures w14:val="standardContextual"/>
              </w:rPr>
            </w:pPr>
            <w:r w:rsidRPr="00720C2B">
              <w:rPr>
                <w:rFonts w:eastAsia="Calibri" w:cs="Arial"/>
                <w:kern w:val="2"/>
                <w:sz w:val="15"/>
                <w:szCs w:val="15"/>
                <w:lang w:val="sl-SI"/>
                <w14:ligatures w14:val="standardContextual"/>
              </w:rPr>
              <w:t>Romunija</w:t>
            </w:r>
          </w:p>
        </w:tc>
        <w:tc>
          <w:tcPr>
            <w:tcW w:w="2221" w:type="dxa"/>
            <w:vAlign w:val="center"/>
          </w:tcPr>
          <w:p w14:paraId="66781B27" w14:textId="77777777" w:rsidR="00720C2B" w:rsidRPr="00720C2B" w:rsidRDefault="00720C2B" w:rsidP="00720C2B">
            <w:pPr>
              <w:spacing w:line="240" w:lineRule="atLeast"/>
              <w:jc w:val="center"/>
              <w:rPr>
                <w:rFonts w:cs="Arial"/>
                <w:sz w:val="15"/>
                <w:szCs w:val="15"/>
                <w:lang w:val="en-GB"/>
              </w:rPr>
            </w:pPr>
            <w:r w:rsidRPr="00720C2B">
              <w:rPr>
                <w:rFonts w:cs="Arial"/>
                <w:sz w:val="15"/>
                <w:szCs w:val="15"/>
                <w:lang w:val="en-GB"/>
              </w:rPr>
              <w:t>/</w:t>
            </w:r>
          </w:p>
        </w:tc>
        <w:tc>
          <w:tcPr>
            <w:tcW w:w="2087" w:type="dxa"/>
            <w:vAlign w:val="center"/>
          </w:tcPr>
          <w:p w14:paraId="28B69EAE" w14:textId="77777777" w:rsidR="00720C2B" w:rsidRPr="00720C2B" w:rsidRDefault="00720C2B" w:rsidP="00720C2B">
            <w:pPr>
              <w:spacing w:line="240" w:lineRule="atLeast"/>
              <w:jc w:val="center"/>
              <w:rPr>
                <w:rFonts w:cs="Arial"/>
                <w:sz w:val="15"/>
                <w:szCs w:val="15"/>
                <w:lang w:val="en-GB"/>
              </w:rPr>
            </w:pPr>
            <w:r w:rsidRPr="00720C2B">
              <w:rPr>
                <w:rFonts w:cs="Arial"/>
                <w:sz w:val="15"/>
                <w:szCs w:val="15"/>
                <w:lang w:val="en-GB"/>
              </w:rPr>
              <w:t>Authority for Digitalization of Romania (ADR)</w:t>
            </w:r>
          </w:p>
        </w:tc>
        <w:tc>
          <w:tcPr>
            <w:tcW w:w="2649" w:type="dxa"/>
            <w:vAlign w:val="center"/>
          </w:tcPr>
          <w:p w14:paraId="00F24831" w14:textId="77777777" w:rsidR="00720C2B" w:rsidRPr="00720C2B" w:rsidRDefault="00720C2B" w:rsidP="00720C2B">
            <w:pPr>
              <w:spacing w:line="240" w:lineRule="atLeast"/>
              <w:jc w:val="center"/>
              <w:rPr>
                <w:rFonts w:cs="Arial"/>
                <w:sz w:val="15"/>
                <w:szCs w:val="15"/>
                <w:lang w:val="en-GB"/>
              </w:rPr>
            </w:pPr>
            <w:r w:rsidRPr="00720C2B">
              <w:rPr>
                <w:rFonts w:cs="Arial"/>
                <w:sz w:val="15"/>
                <w:szCs w:val="15"/>
                <w:lang w:val="en-GB"/>
              </w:rPr>
              <w:t>/</w:t>
            </w:r>
          </w:p>
        </w:tc>
      </w:tr>
      <w:tr w:rsidR="00720C2B" w:rsidRPr="00720C2B" w14:paraId="6A93CD24" w14:textId="77777777" w:rsidTr="00353AAD">
        <w:trPr>
          <w:jc w:val="center"/>
        </w:trPr>
        <w:tc>
          <w:tcPr>
            <w:tcW w:w="1531" w:type="dxa"/>
            <w:vAlign w:val="center"/>
          </w:tcPr>
          <w:p w14:paraId="3D3960F0" w14:textId="77777777" w:rsidR="00720C2B" w:rsidRPr="00720C2B" w:rsidRDefault="00720C2B" w:rsidP="00720C2B">
            <w:pPr>
              <w:numPr>
                <w:ilvl w:val="0"/>
                <w:numId w:val="31"/>
              </w:numPr>
              <w:spacing w:line="240" w:lineRule="atLeast"/>
              <w:ind w:left="489" w:hanging="489"/>
              <w:contextualSpacing/>
              <w:rPr>
                <w:rFonts w:eastAsia="Calibri" w:cs="Arial"/>
                <w:kern w:val="2"/>
                <w:sz w:val="15"/>
                <w:szCs w:val="15"/>
                <w:lang w:val="sl-SI"/>
                <w14:ligatures w14:val="standardContextual"/>
              </w:rPr>
            </w:pPr>
            <w:r w:rsidRPr="00720C2B">
              <w:rPr>
                <w:rFonts w:eastAsia="Calibri" w:cs="Arial"/>
                <w:kern w:val="2"/>
                <w:sz w:val="15"/>
                <w:szCs w:val="15"/>
                <w:lang w:val="sl-SI"/>
                <w14:ligatures w14:val="standardContextual"/>
              </w:rPr>
              <w:t>Slovaška</w:t>
            </w:r>
          </w:p>
        </w:tc>
        <w:tc>
          <w:tcPr>
            <w:tcW w:w="2221" w:type="dxa"/>
            <w:vAlign w:val="center"/>
          </w:tcPr>
          <w:p w14:paraId="5D48A0EA" w14:textId="77777777" w:rsidR="00720C2B" w:rsidRPr="00720C2B" w:rsidRDefault="00720C2B" w:rsidP="00720C2B">
            <w:pPr>
              <w:spacing w:line="240" w:lineRule="atLeast"/>
              <w:jc w:val="center"/>
              <w:rPr>
                <w:rFonts w:cs="Arial"/>
                <w:sz w:val="15"/>
                <w:szCs w:val="15"/>
                <w:lang w:val="en-GB"/>
              </w:rPr>
            </w:pPr>
            <w:r w:rsidRPr="00720C2B">
              <w:rPr>
                <w:rFonts w:cs="Arial"/>
                <w:sz w:val="15"/>
                <w:szCs w:val="15"/>
                <w:lang w:val="en-GB"/>
              </w:rPr>
              <w:t>/</w:t>
            </w:r>
          </w:p>
        </w:tc>
        <w:tc>
          <w:tcPr>
            <w:tcW w:w="2087" w:type="dxa"/>
            <w:vAlign w:val="center"/>
          </w:tcPr>
          <w:p w14:paraId="46522705" w14:textId="77777777" w:rsidR="00720C2B" w:rsidRPr="00720C2B" w:rsidRDefault="00720C2B" w:rsidP="00720C2B">
            <w:pPr>
              <w:spacing w:line="240" w:lineRule="atLeast"/>
              <w:jc w:val="center"/>
              <w:rPr>
                <w:rFonts w:cs="Arial"/>
                <w:sz w:val="15"/>
                <w:szCs w:val="15"/>
                <w:lang w:val="en-GB"/>
              </w:rPr>
            </w:pPr>
            <w:r w:rsidRPr="00720C2B">
              <w:rPr>
                <w:rFonts w:cs="Arial"/>
                <w:sz w:val="15"/>
                <w:szCs w:val="15"/>
                <w:lang w:val="en-GB"/>
              </w:rPr>
              <w:t>/</w:t>
            </w:r>
          </w:p>
        </w:tc>
        <w:tc>
          <w:tcPr>
            <w:tcW w:w="2649" w:type="dxa"/>
            <w:vAlign w:val="center"/>
          </w:tcPr>
          <w:p w14:paraId="58AFC7E0" w14:textId="77777777" w:rsidR="00720C2B" w:rsidRPr="00720C2B" w:rsidRDefault="00720C2B" w:rsidP="00720C2B">
            <w:pPr>
              <w:spacing w:line="240" w:lineRule="atLeast"/>
              <w:jc w:val="center"/>
              <w:rPr>
                <w:rFonts w:cs="Arial"/>
                <w:sz w:val="15"/>
                <w:szCs w:val="15"/>
                <w:lang w:val="en-GB"/>
              </w:rPr>
            </w:pPr>
            <w:r w:rsidRPr="00720C2B">
              <w:rPr>
                <w:rFonts w:cs="Arial"/>
                <w:sz w:val="15"/>
                <w:szCs w:val="15"/>
                <w:lang w:val="en-GB"/>
              </w:rPr>
              <w:t>/</w:t>
            </w:r>
          </w:p>
        </w:tc>
      </w:tr>
      <w:tr w:rsidR="00720C2B" w:rsidRPr="00720C2B" w14:paraId="5C8A034B" w14:textId="77777777" w:rsidTr="00353AAD">
        <w:trPr>
          <w:jc w:val="center"/>
        </w:trPr>
        <w:tc>
          <w:tcPr>
            <w:tcW w:w="1531" w:type="dxa"/>
            <w:vAlign w:val="center"/>
          </w:tcPr>
          <w:p w14:paraId="4331C614" w14:textId="77777777" w:rsidR="00720C2B" w:rsidRPr="00720C2B" w:rsidRDefault="00720C2B" w:rsidP="00720C2B">
            <w:pPr>
              <w:numPr>
                <w:ilvl w:val="0"/>
                <w:numId w:val="31"/>
              </w:numPr>
              <w:spacing w:line="240" w:lineRule="atLeast"/>
              <w:ind w:left="489" w:hanging="489"/>
              <w:contextualSpacing/>
              <w:rPr>
                <w:rFonts w:eastAsia="Calibri" w:cs="Arial"/>
                <w:kern w:val="2"/>
                <w:sz w:val="15"/>
                <w:szCs w:val="15"/>
                <w:lang w:val="sl-SI"/>
                <w14:ligatures w14:val="standardContextual"/>
              </w:rPr>
            </w:pPr>
            <w:r w:rsidRPr="00720C2B">
              <w:rPr>
                <w:rFonts w:eastAsia="Calibri" w:cs="Arial"/>
                <w:kern w:val="2"/>
                <w:sz w:val="15"/>
                <w:szCs w:val="15"/>
                <w:lang w:val="sl-SI"/>
                <w14:ligatures w14:val="standardContextual"/>
              </w:rPr>
              <w:t>Slovenija</w:t>
            </w:r>
          </w:p>
        </w:tc>
        <w:tc>
          <w:tcPr>
            <w:tcW w:w="2221" w:type="dxa"/>
            <w:vAlign w:val="center"/>
          </w:tcPr>
          <w:p w14:paraId="6788CB99" w14:textId="77777777" w:rsidR="00720C2B" w:rsidRPr="00720C2B" w:rsidRDefault="00720C2B" w:rsidP="00720C2B">
            <w:pPr>
              <w:spacing w:line="240" w:lineRule="atLeast"/>
              <w:jc w:val="center"/>
              <w:rPr>
                <w:rFonts w:cs="Arial"/>
                <w:sz w:val="15"/>
                <w:szCs w:val="15"/>
                <w:lang w:val="en-GB"/>
              </w:rPr>
            </w:pPr>
            <w:r w:rsidRPr="00720C2B">
              <w:rPr>
                <w:rFonts w:cs="Arial"/>
                <w:sz w:val="15"/>
                <w:szCs w:val="15"/>
                <w:lang w:val="en-GB"/>
              </w:rPr>
              <w:t>/</w:t>
            </w:r>
          </w:p>
        </w:tc>
        <w:tc>
          <w:tcPr>
            <w:tcW w:w="2087" w:type="dxa"/>
            <w:vAlign w:val="center"/>
          </w:tcPr>
          <w:p w14:paraId="05F7A0BA" w14:textId="77777777" w:rsidR="00720C2B" w:rsidRPr="00720C2B" w:rsidRDefault="00720C2B" w:rsidP="00720C2B">
            <w:pPr>
              <w:spacing w:line="240" w:lineRule="atLeast"/>
              <w:jc w:val="center"/>
              <w:rPr>
                <w:rFonts w:cs="Arial"/>
                <w:sz w:val="15"/>
                <w:szCs w:val="15"/>
                <w:lang w:val="en-GB"/>
              </w:rPr>
            </w:pPr>
            <w:r w:rsidRPr="00720C2B">
              <w:rPr>
                <w:rFonts w:cs="Arial"/>
                <w:sz w:val="15"/>
                <w:szCs w:val="15"/>
                <w:lang w:val="en-GB"/>
              </w:rPr>
              <w:t>/</w:t>
            </w:r>
          </w:p>
        </w:tc>
        <w:tc>
          <w:tcPr>
            <w:tcW w:w="2649" w:type="dxa"/>
            <w:vAlign w:val="center"/>
          </w:tcPr>
          <w:p w14:paraId="07DDA184" w14:textId="77777777" w:rsidR="00720C2B" w:rsidRPr="00720C2B" w:rsidRDefault="00720C2B" w:rsidP="00720C2B">
            <w:pPr>
              <w:spacing w:line="240" w:lineRule="atLeast"/>
              <w:jc w:val="center"/>
              <w:rPr>
                <w:rFonts w:cs="Arial"/>
                <w:sz w:val="15"/>
                <w:szCs w:val="15"/>
                <w:lang w:val="en-GB"/>
              </w:rPr>
            </w:pPr>
            <w:r w:rsidRPr="00720C2B">
              <w:rPr>
                <w:rFonts w:cs="Arial"/>
                <w:sz w:val="15"/>
                <w:szCs w:val="15"/>
                <w:lang w:val="en-GB"/>
              </w:rPr>
              <w:t>/</w:t>
            </w:r>
          </w:p>
        </w:tc>
      </w:tr>
      <w:tr w:rsidR="00720C2B" w:rsidRPr="00720C2B" w14:paraId="15B6C353" w14:textId="77777777" w:rsidTr="00353AAD">
        <w:trPr>
          <w:jc w:val="center"/>
        </w:trPr>
        <w:tc>
          <w:tcPr>
            <w:tcW w:w="1531" w:type="dxa"/>
            <w:vAlign w:val="center"/>
          </w:tcPr>
          <w:p w14:paraId="35AD32E2" w14:textId="77777777" w:rsidR="00720C2B" w:rsidRPr="00720C2B" w:rsidRDefault="00720C2B" w:rsidP="00720C2B">
            <w:pPr>
              <w:numPr>
                <w:ilvl w:val="0"/>
                <w:numId w:val="31"/>
              </w:numPr>
              <w:spacing w:line="240" w:lineRule="atLeast"/>
              <w:ind w:left="489" w:hanging="489"/>
              <w:contextualSpacing/>
              <w:rPr>
                <w:rFonts w:eastAsia="Calibri" w:cs="Arial"/>
                <w:kern w:val="2"/>
                <w:sz w:val="15"/>
                <w:szCs w:val="15"/>
                <w:lang w:val="sl-SI"/>
                <w14:ligatures w14:val="standardContextual"/>
              </w:rPr>
            </w:pPr>
            <w:r w:rsidRPr="00720C2B">
              <w:rPr>
                <w:rFonts w:eastAsia="Calibri" w:cs="Arial"/>
                <w:kern w:val="2"/>
                <w:sz w:val="15"/>
                <w:szCs w:val="15"/>
                <w:lang w:val="sl-SI"/>
                <w14:ligatures w14:val="standardContextual"/>
              </w:rPr>
              <w:t>Španija</w:t>
            </w:r>
          </w:p>
        </w:tc>
        <w:tc>
          <w:tcPr>
            <w:tcW w:w="2221" w:type="dxa"/>
            <w:vAlign w:val="center"/>
          </w:tcPr>
          <w:p w14:paraId="5085CB63" w14:textId="77777777" w:rsidR="00720C2B" w:rsidRPr="00720C2B" w:rsidRDefault="00720C2B" w:rsidP="00720C2B">
            <w:pPr>
              <w:numPr>
                <w:ilvl w:val="0"/>
                <w:numId w:val="30"/>
              </w:numPr>
              <w:spacing w:line="240" w:lineRule="atLeast"/>
              <w:ind w:left="177" w:hanging="142"/>
              <w:contextualSpacing/>
              <w:rPr>
                <w:rFonts w:cs="Arial"/>
                <w:sz w:val="15"/>
                <w:szCs w:val="15"/>
                <w:lang w:val="en-GB"/>
              </w:rPr>
            </w:pPr>
            <w:r w:rsidRPr="00720C2B">
              <w:rPr>
                <w:rFonts w:cs="Arial"/>
                <w:sz w:val="15"/>
                <w:szCs w:val="15"/>
                <w:lang w:val="en-GB"/>
              </w:rPr>
              <w:t>Deputy Directorate General for Planning and Governance of Digital Administration</w:t>
            </w:r>
          </w:p>
          <w:p w14:paraId="37D87327" w14:textId="77777777" w:rsidR="00720C2B" w:rsidRPr="00720C2B" w:rsidRDefault="00720C2B" w:rsidP="00720C2B">
            <w:pPr>
              <w:numPr>
                <w:ilvl w:val="0"/>
                <w:numId w:val="30"/>
              </w:numPr>
              <w:spacing w:line="240" w:lineRule="atLeast"/>
              <w:ind w:left="177" w:hanging="142"/>
              <w:contextualSpacing/>
              <w:rPr>
                <w:rFonts w:cs="Arial"/>
                <w:sz w:val="15"/>
                <w:szCs w:val="15"/>
                <w:lang w:val="en-GB"/>
              </w:rPr>
            </w:pPr>
            <w:r w:rsidRPr="00720C2B">
              <w:rPr>
                <w:rFonts w:cs="Arial"/>
                <w:sz w:val="15"/>
                <w:szCs w:val="15"/>
                <w:lang w:val="en-GB"/>
              </w:rPr>
              <w:t>General Secretariat for Digital Administration. State Secretariat for Digitization and Artificial Intelligence</w:t>
            </w:r>
          </w:p>
          <w:p w14:paraId="05C65F03" w14:textId="77777777" w:rsidR="00720C2B" w:rsidRPr="00720C2B" w:rsidRDefault="00720C2B" w:rsidP="00720C2B">
            <w:pPr>
              <w:numPr>
                <w:ilvl w:val="0"/>
                <w:numId w:val="30"/>
              </w:numPr>
              <w:spacing w:line="240" w:lineRule="atLeast"/>
              <w:ind w:left="177" w:hanging="142"/>
              <w:contextualSpacing/>
              <w:rPr>
                <w:rFonts w:cs="Arial"/>
                <w:sz w:val="15"/>
                <w:szCs w:val="15"/>
                <w:lang w:val="en-GB"/>
              </w:rPr>
            </w:pPr>
            <w:r w:rsidRPr="00720C2B">
              <w:rPr>
                <w:rFonts w:cs="Arial"/>
                <w:sz w:val="15"/>
                <w:szCs w:val="15"/>
                <w:lang w:val="en-GB"/>
              </w:rPr>
              <w:t>Ministry of Economic Affairs and Digital Transformation</w:t>
            </w:r>
          </w:p>
        </w:tc>
        <w:tc>
          <w:tcPr>
            <w:tcW w:w="4736" w:type="dxa"/>
            <w:gridSpan w:val="2"/>
            <w:vAlign w:val="center"/>
          </w:tcPr>
          <w:p w14:paraId="2637A047" w14:textId="77777777" w:rsidR="00720C2B" w:rsidRPr="00720C2B" w:rsidRDefault="00720C2B" w:rsidP="00720C2B">
            <w:pPr>
              <w:numPr>
                <w:ilvl w:val="0"/>
                <w:numId w:val="30"/>
              </w:numPr>
              <w:spacing w:line="240" w:lineRule="atLeast"/>
              <w:ind w:left="177" w:hanging="142"/>
              <w:contextualSpacing/>
              <w:rPr>
                <w:rFonts w:cs="Arial"/>
                <w:sz w:val="15"/>
                <w:szCs w:val="15"/>
                <w:lang w:val="en-GB"/>
              </w:rPr>
            </w:pPr>
            <w:r w:rsidRPr="00720C2B">
              <w:rPr>
                <w:rFonts w:cs="Arial"/>
                <w:sz w:val="15"/>
                <w:szCs w:val="15"/>
                <w:lang w:val="en-GB"/>
              </w:rPr>
              <w:t>Deputy Directorate General for Digital Society</w:t>
            </w:r>
          </w:p>
          <w:p w14:paraId="3F0C8162" w14:textId="77777777" w:rsidR="00720C2B" w:rsidRPr="00720C2B" w:rsidRDefault="00720C2B" w:rsidP="00720C2B">
            <w:pPr>
              <w:numPr>
                <w:ilvl w:val="0"/>
                <w:numId w:val="30"/>
              </w:numPr>
              <w:spacing w:line="240" w:lineRule="atLeast"/>
              <w:ind w:left="177" w:hanging="142"/>
              <w:contextualSpacing/>
              <w:rPr>
                <w:rFonts w:cs="Arial"/>
                <w:sz w:val="15"/>
                <w:szCs w:val="15"/>
                <w:lang w:val="en-GB"/>
              </w:rPr>
            </w:pPr>
            <w:r w:rsidRPr="00720C2B">
              <w:rPr>
                <w:rFonts w:cs="Arial"/>
                <w:sz w:val="15"/>
                <w:szCs w:val="15"/>
                <w:lang w:val="en-GB"/>
              </w:rPr>
              <w:t>Directorate General for Digitization and Artificial Intelligence</w:t>
            </w:r>
          </w:p>
          <w:p w14:paraId="5DCC7247" w14:textId="77777777" w:rsidR="00720C2B" w:rsidRPr="00720C2B" w:rsidRDefault="00720C2B" w:rsidP="00720C2B">
            <w:pPr>
              <w:numPr>
                <w:ilvl w:val="0"/>
                <w:numId w:val="30"/>
              </w:numPr>
              <w:spacing w:line="240" w:lineRule="atLeast"/>
              <w:ind w:left="177" w:hanging="142"/>
              <w:contextualSpacing/>
              <w:rPr>
                <w:rFonts w:cs="Arial"/>
                <w:sz w:val="15"/>
                <w:szCs w:val="15"/>
                <w:lang w:val="en-GB"/>
              </w:rPr>
            </w:pPr>
            <w:r w:rsidRPr="00720C2B">
              <w:rPr>
                <w:rFonts w:cs="Arial"/>
                <w:sz w:val="15"/>
                <w:szCs w:val="15"/>
                <w:lang w:val="en-GB"/>
              </w:rPr>
              <w:t>State Secretariat for Digitization and Artificial Intelligence</w:t>
            </w:r>
          </w:p>
          <w:p w14:paraId="0748FA4B" w14:textId="77777777" w:rsidR="00720C2B" w:rsidRPr="00720C2B" w:rsidRDefault="00720C2B" w:rsidP="00720C2B">
            <w:pPr>
              <w:numPr>
                <w:ilvl w:val="0"/>
                <w:numId w:val="30"/>
              </w:numPr>
              <w:spacing w:line="240" w:lineRule="atLeast"/>
              <w:ind w:left="177" w:hanging="142"/>
              <w:contextualSpacing/>
              <w:rPr>
                <w:rFonts w:cs="Arial"/>
                <w:sz w:val="15"/>
                <w:szCs w:val="15"/>
                <w:lang w:val="en-GB"/>
              </w:rPr>
            </w:pPr>
            <w:r w:rsidRPr="00720C2B">
              <w:rPr>
                <w:rFonts w:cs="Arial"/>
                <w:sz w:val="15"/>
                <w:szCs w:val="15"/>
                <w:lang w:val="en-GB"/>
              </w:rPr>
              <w:t>Ministry of Economic Affairs and Digital Transformation</w:t>
            </w:r>
          </w:p>
        </w:tc>
      </w:tr>
      <w:tr w:rsidR="00720C2B" w:rsidRPr="00720C2B" w14:paraId="447E2D87" w14:textId="77777777" w:rsidTr="00353AAD">
        <w:trPr>
          <w:jc w:val="center"/>
        </w:trPr>
        <w:tc>
          <w:tcPr>
            <w:tcW w:w="1531" w:type="dxa"/>
            <w:vAlign w:val="center"/>
          </w:tcPr>
          <w:p w14:paraId="1F7003D9" w14:textId="77777777" w:rsidR="00720C2B" w:rsidRPr="00720C2B" w:rsidRDefault="00720C2B" w:rsidP="00720C2B">
            <w:pPr>
              <w:numPr>
                <w:ilvl w:val="0"/>
                <w:numId w:val="31"/>
              </w:numPr>
              <w:spacing w:line="240" w:lineRule="atLeast"/>
              <w:ind w:left="489" w:hanging="489"/>
              <w:contextualSpacing/>
              <w:rPr>
                <w:rFonts w:eastAsia="Calibri" w:cs="Arial"/>
                <w:kern w:val="2"/>
                <w:sz w:val="15"/>
                <w:szCs w:val="15"/>
                <w:lang w:val="sl-SI"/>
                <w14:ligatures w14:val="standardContextual"/>
              </w:rPr>
            </w:pPr>
            <w:r w:rsidRPr="00720C2B">
              <w:rPr>
                <w:rFonts w:eastAsia="Calibri" w:cs="Arial"/>
                <w:kern w:val="2"/>
                <w:sz w:val="15"/>
                <w:szCs w:val="15"/>
                <w:lang w:val="sl-SI"/>
                <w14:ligatures w14:val="standardContextual"/>
              </w:rPr>
              <w:t>Švedska</w:t>
            </w:r>
          </w:p>
        </w:tc>
        <w:tc>
          <w:tcPr>
            <w:tcW w:w="2221" w:type="dxa"/>
            <w:vAlign w:val="center"/>
          </w:tcPr>
          <w:p w14:paraId="27505441" w14:textId="77777777" w:rsidR="00720C2B" w:rsidRPr="00720C2B" w:rsidRDefault="00720C2B" w:rsidP="00720C2B">
            <w:pPr>
              <w:spacing w:line="240" w:lineRule="atLeast"/>
              <w:jc w:val="center"/>
              <w:rPr>
                <w:rFonts w:cs="Arial"/>
                <w:sz w:val="15"/>
                <w:szCs w:val="15"/>
                <w:lang w:val="en-GB"/>
              </w:rPr>
            </w:pPr>
            <w:r w:rsidRPr="00720C2B">
              <w:rPr>
                <w:rFonts w:cs="Arial"/>
                <w:sz w:val="15"/>
                <w:szCs w:val="15"/>
                <w:lang w:val="en-GB"/>
              </w:rPr>
              <w:t>/</w:t>
            </w:r>
          </w:p>
        </w:tc>
        <w:tc>
          <w:tcPr>
            <w:tcW w:w="2087" w:type="dxa"/>
            <w:vAlign w:val="center"/>
          </w:tcPr>
          <w:p w14:paraId="4FBD12D6" w14:textId="77777777" w:rsidR="00720C2B" w:rsidRPr="00720C2B" w:rsidRDefault="00720C2B" w:rsidP="00720C2B">
            <w:pPr>
              <w:spacing w:line="240" w:lineRule="atLeast"/>
              <w:jc w:val="center"/>
              <w:rPr>
                <w:rFonts w:cs="Arial"/>
                <w:sz w:val="15"/>
                <w:szCs w:val="15"/>
                <w:lang w:val="en-GB"/>
              </w:rPr>
            </w:pPr>
            <w:r w:rsidRPr="00720C2B">
              <w:rPr>
                <w:rFonts w:cs="Arial"/>
                <w:sz w:val="15"/>
                <w:szCs w:val="15"/>
                <w:lang w:val="en-GB"/>
              </w:rPr>
              <w:t>/</w:t>
            </w:r>
          </w:p>
        </w:tc>
        <w:tc>
          <w:tcPr>
            <w:tcW w:w="2649" w:type="dxa"/>
            <w:vAlign w:val="center"/>
          </w:tcPr>
          <w:p w14:paraId="238871B0" w14:textId="77777777" w:rsidR="00720C2B" w:rsidRPr="00720C2B" w:rsidRDefault="00720C2B" w:rsidP="00720C2B">
            <w:pPr>
              <w:spacing w:line="240" w:lineRule="atLeast"/>
              <w:jc w:val="center"/>
              <w:rPr>
                <w:rFonts w:cs="Arial"/>
                <w:sz w:val="15"/>
                <w:szCs w:val="15"/>
                <w:lang w:val="en-GB"/>
              </w:rPr>
            </w:pPr>
            <w:r w:rsidRPr="00720C2B">
              <w:rPr>
                <w:rFonts w:cs="Arial"/>
                <w:sz w:val="15"/>
                <w:szCs w:val="15"/>
                <w:lang w:val="en-GB"/>
              </w:rPr>
              <w:t>/</w:t>
            </w:r>
          </w:p>
        </w:tc>
      </w:tr>
    </w:tbl>
    <w:p w14:paraId="6B7A0097" w14:textId="77777777" w:rsidR="00353AAD" w:rsidRPr="00353AAD" w:rsidRDefault="00353AAD" w:rsidP="00353AAD">
      <w:pPr>
        <w:spacing w:line="240" w:lineRule="atLeast"/>
        <w:rPr>
          <w:rFonts w:cs="Arial"/>
          <w:szCs w:val="20"/>
          <w:lang w:val="sl-SI"/>
        </w:rPr>
      </w:pPr>
      <w:r w:rsidRPr="00353AAD">
        <w:rPr>
          <w:rFonts w:cs="Arial"/>
          <w:szCs w:val="20"/>
          <w:lang w:val="sl-SI"/>
        </w:rPr>
        <w:t xml:space="preserve">Vir: National competent bodies and authorities </w:t>
      </w:r>
      <w:hyperlink r:id="rId11" w:history="1">
        <w:r w:rsidRPr="00353AAD">
          <w:rPr>
            <w:szCs w:val="20"/>
            <w:lang w:val="sl-SI"/>
          </w:rPr>
          <w:t>https://ec.europa.eu/newsroom/dae/redirection/document/98966</w:t>
        </w:r>
      </w:hyperlink>
      <w:r w:rsidRPr="00353AAD">
        <w:rPr>
          <w:rFonts w:cs="Arial"/>
          <w:szCs w:val="20"/>
          <w:lang w:val="sl-SI"/>
        </w:rPr>
        <w:t xml:space="preserve"> (Datum zajema: 24. 6. 2024)</w:t>
      </w:r>
    </w:p>
    <w:p w14:paraId="180BB11C" w14:textId="77777777" w:rsidR="00E91C48" w:rsidRDefault="00E91C48" w:rsidP="00694DC1">
      <w:pPr>
        <w:spacing w:line="240" w:lineRule="atLeast"/>
        <w:jc w:val="both"/>
        <w:rPr>
          <w:szCs w:val="20"/>
          <w:lang w:val="sl-SI"/>
        </w:rPr>
      </w:pPr>
    </w:p>
    <w:p w14:paraId="7885DD13" w14:textId="77777777" w:rsidR="00353AAD" w:rsidRPr="00CC0BBA" w:rsidRDefault="00353AAD" w:rsidP="00353AAD">
      <w:pPr>
        <w:spacing w:line="240" w:lineRule="atLeast"/>
        <w:jc w:val="both"/>
        <w:rPr>
          <w:rFonts w:cs="Arial"/>
          <w:szCs w:val="20"/>
          <w:lang w:val="sl-SI"/>
        </w:rPr>
      </w:pPr>
      <w:r w:rsidRPr="00CC0BBA">
        <w:rPr>
          <w:rFonts w:cs="Arial"/>
          <w:szCs w:val="20"/>
          <w:lang w:val="sl-SI"/>
        </w:rPr>
        <w:t>Predlog zakona je prilagojen pravnemu redu Evropske unije.</w:t>
      </w:r>
    </w:p>
    <w:p w14:paraId="427F0D93" w14:textId="77777777" w:rsidR="00353AAD" w:rsidRPr="00CC0BBA" w:rsidRDefault="00353AAD" w:rsidP="00353AAD">
      <w:pPr>
        <w:spacing w:line="240" w:lineRule="atLeast"/>
        <w:jc w:val="both"/>
        <w:rPr>
          <w:rFonts w:cs="Arial"/>
          <w:szCs w:val="20"/>
          <w:lang w:val="sl-SI"/>
        </w:rPr>
      </w:pPr>
    </w:p>
    <w:p w14:paraId="1F389AFE" w14:textId="77777777" w:rsidR="00353AAD" w:rsidRDefault="00353AAD" w:rsidP="00353AAD">
      <w:pPr>
        <w:pStyle w:val="Neotevilenodstavek"/>
        <w:spacing w:before="0" w:after="0" w:line="260" w:lineRule="exact"/>
        <w:rPr>
          <w:sz w:val="20"/>
          <w:szCs w:val="20"/>
          <w:lang w:eastAsia="en-US"/>
        </w:rPr>
      </w:pPr>
      <w:r w:rsidRPr="5507CBEB">
        <w:rPr>
          <w:sz w:val="20"/>
          <w:szCs w:val="20"/>
          <w:lang w:eastAsia="en-US"/>
        </w:rPr>
        <w:t>Podrobnejši prikaz ureditve v nekaterih državah članicah Evropske unije:</w:t>
      </w:r>
    </w:p>
    <w:p w14:paraId="599ECCE7" w14:textId="77777777" w:rsidR="00353AAD" w:rsidRPr="008B082F" w:rsidRDefault="00353AAD" w:rsidP="00353AAD">
      <w:pPr>
        <w:pStyle w:val="Neotevilenodstavek"/>
        <w:spacing w:before="0" w:after="0" w:line="260" w:lineRule="exact"/>
        <w:rPr>
          <w:sz w:val="20"/>
          <w:szCs w:val="20"/>
          <w:lang w:eastAsia="en-US"/>
        </w:rPr>
      </w:pPr>
    </w:p>
    <w:p w14:paraId="3C279076" w14:textId="77777777" w:rsidR="00353AAD" w:rsidRPr="00E10C0F" w:rsidRDefault="00353AAD" w:rsidP="00353AAD">
      <w:pPr>
        <w:pStyle w:val="Neotevilenodstavek"/>
        <w:spacing w:before="0" w:after="0" w:line="240" w:lineRule="atLeast"/>
        <w:rPr>
          <w:b/>
          <w:bCs/>
          <w:sz w:val="20"/>
          <w:szCs w:val="20"/>
          <w:lang w:eastAsia="en-US"/>
        </w:rPr>
      </w:pPr>
      <w:r w:rsidRPr="00E10C0F">
        <w:rPr>
          <w:b/>
          <w:bCs/>
          <w:sz w:val="20"/>
          <w:szCs w:val="20"/>
          <w:lang w:eastAsia="en-US"/>
        </w:rPr>
        <w:t>LITVA</w:t>
      </w:r>
    </w:p>
    <w:p w14:paraId="54DDD0D6" w14:textId="77777777" w:rsidR="00353AAD" w:rsidRPr="008B082F" w:rsidRDefault="00353AAD" w:rsidP="00353AAD">
      <w:pPr>
        <w:pStyle w:val="Neotevilenodstavek"/>
        <w:spacing w:before="0" w:after="0" w:line="240" w:lineRule="atLeast"/>
        <w:rPr>
          <w:sz w:val="20"/>
          <w:szCs w:val="20"/>
          <w:lang w:eastAsia="en-US"/>
        </w:rPr>
      </w:pPr>
      <w:r w:rsidRPr="2941E8F6">
        <w:rPr>
          <w:sz w:val="20"/>
          <w:szCs w:val="20"/>
          <w:lang w:eastAsia="en-US"/>
        </w:rPr>
        <w:t xml:space="preserve">Zakonodajni postopek je še v teku. Osnutek nacionalnega zakona, s katerim prenašajo Uredbo  2022/868/EU je v obravnavi v njihovem parlamentu. Predlog zakona določa pristojnosti, pravice in naloge pristojnih organov, postopek obravnavanja pritožb, določanja in plačila taks, sankcij in odškodnin. Načrtuje se, da bo zakon o izvajanju </w:t>
      </w:r>
      <w:r>
        <w:rPr>
          <w:sz w:val="20"/>
          <w:szCs w:val="20"/>
          <w:lang w:eastAsia="en-US"/>
        </w:rPr>
        <w:t>Uredbe</w:t>
      </w:r>
      <w:r w:rsidRPr="2941E8F6">
        <w:rPr>
          <w:sz w:val="20"/>
          <w:szCs w:val="20"/>
          <w:lang w:eastAsia="en-US"/>
        </w:rPr>
        <w:t xml:space="preserve"> o upravljanju podatkov v Litvi začel veljati 1. septembra 2024.</w:t>
      </w:r>
    </w:p>
    <w:p w14:paraId="5CA19701" w14:textId="77777777" w:rsidR="00353AAD" w:rsidRDefault="00353AAD" w:rsidP="00353AAD">
      <w:pPr>
        <w:pStyle w:val="Neotevilenodstavek"/>
        <w:spacing w:before="0" w:after="0" w:line="240" w:lineRule="atLeast"/>
        <w:rPr>
          <w:sz w:val="20"/>
          <w:szCs w:val="20"/>
          <w:lang w:eastAsia="en-US"/>
        </w:rPr>
      </w:pPr>
    </w:p>
    <w:p w14:paraId="3E2AE578" w14:textId="77777777" w:rsidR="00353AAD" w:rsidRPr="008B082F" w:rsidRDefault="00353AAD" w:rsidP="00353AAD">
      <w:pPr>
        <w:pStyle w:val="Neotevilenodstavek"/>
        <w:spacing w:before="0" w:after="0" w:line="240" w:lineRule="atLeast"/>
        <w:rPr>
          <w:sz w:val="20"/>
          <w:szCs w:val="20"/>
          <w:lang w:eastAsia="en-US"/>
        </w:rPr>
      </w:pPr>
      <w:r w:rsidRPr="008B082F">
        <w:rPr>
          <w:sz w:val="20"/>
          <w:szCs w:val="20"/>
          <w:lang w:eastAsia="en-US"/>
        </w:rPr>
        <w:t>Dne 20. septembra 2023 sta bila z Resolucijo o izvajanju Uredbe (EU) 2022/868 imenovana dva pristojna organa Litve:</w:t>
      </w:r>
    </w:p>
    <w:p w14:paraId="0EB1F9D9" w14:textId="77777777" w:rsidR="00353AAD" w:rsidRPr="008B082F" w:rsidRDefault="00353AAD" w:rsidP="00353AAD">
      <w:pPr>
        <w:pStyle w:val="Neotevilenodstavek"/>
        <w:numPr>
          <w:ilvl w:val="0"/>
          <w:numId w:val="32"/>
        </w:numPr>
        <w:spacing w:before="0" w:after="0" w:line="240" w:lineRule="atLeast"/>
        <w:rPr>
          <w:sz w:val="20"/>
          <w:szCs w:val="20"/>
          <w:lang w:eastAsia="en-US"/>
        </w:rPr>
      </w:pPr>
      <w:r w:rsidRPr="2941E8F6">
        <w:rPr>
          <w:sz w:val="20"/>
          <w:szCs w:val="20"/>
          <w:lang w:eastAsia="en-US"/>
        </w:rPr>
        <w:t>Državna agencija za podatke je pristojna institucija v skladu s prvim odstavkom 7. člena Uredbe  2022/868/EU in enotna informacijska točka v skladu s prvim odstavkom 8. člena Uredbe 2022/868/EU.</w:t>
      </w:r>
    </w:p>
    <w:p w14:paraId="5CCAB7B9" w14:textId="77777777" w:rsidR="00353AAD" w:rsidRPr="008B082F" w:rsidRDefault="00353AAD" w:rsidP="00353AAD">
      <w:pPr>
        <w:pStyle w:val="Neotevilenodstavek"/>
        <w:numPr>
          <w:ilvl w:val="0"/>
          <w:numId w:val="32"/>
        </w:numPr>
        <w:spacing w:before="0" w:after="0" w:line="240" w:lineRule="atLeast"/>
        <w:rPr>
          <w:sz w:val="20"/>
          <w:szCs w:val="20"/>
          <w:lang w:eastAsia="en-US"/>
        </w:rPr>
      </w:pPr>
      <w:r w:rsidRPr="2941E8F6">
        <w:rPr>
          <w:sz w:val="20"/>
          <w:szCs w:val="20"/>
          <w:lang w:eastAsia="en-US"/>
        </w:rPr>
        <w:t>Državni inšpektorat za varstvo podatkov je pristojni organ, odgovoren za storitve posredovanja podatkov v skladu s prvim odstavkom 13. člena Uredbe  2022/868/EU in za registracijo organizacij za altruistične podatke v skladu s prvim odstavkom 23. člena Uredbe 2022/868/EU.</w:t>
      </w:r>
    </w:p>
    <w:p w14:paraId="67F70F65" w14:textId="77777777" w:rsidR="00353AAD" w:rsidRPr="0028272D" w:rsidRDefault="00353AAD" w:rsidP="00353AAD">
      <w:pPr>
        <w:pStyle w:val="Neotevilenodstavek"/>
        <w:rPr>
          <w:sz w:val="20"/>
          <w:szCs w:val="20"/>
          <w:lang w:eastAsia="en-US"/>
        </w:rPr>
      </w:pPr>
    </w:p>
    <w:p w14:paraId="0C1671B5" w14:textId="77777777" w:rsidR="00353AAD" w:rsidRPr="0028272D" w:rsidRDefault="00353AAD" w:rsidP="00353AAD">
      <w:pPr>
        <w:pStyle w:val="Neotevilenodstavek"/>
        <w:rPr>
          <w:sz w:val="20"/>
          <w:szCs w:val="20"/>
          <w:lang w:eastAsia="en-US"/>
        </w:rPr>
      </w:pPr>
    </w:p>
    <w:p w14:paraId="5414E254" w14:textId="77777777" w:rsidR="00353AAD" w:rsidRPr="00E10C0F" w:rsidRDefault="00353AAD" w:rsidP="00353AAD">
      <w:pPr>
        <w:pStyle w:val="Neotevilenodstavek"/>
        <w:spacing w:before="0" w:after="0" w:line="240" w:lineRule="atLeast"/>
        <w:rPr>
          <w:b/>
          <w:bCs/>
          <w:sz w:val="20"/>
          <w:szCs w:val="20"/>
          <w:lang w:eastAsia="en-US"/>
        </w:rPr>
      </w:pPr>
      <w:r w:rsidRPr="00E10C0F">
        <w:rPr>
          <w:b/>
          <w:bCs/>
          <w:sz w:val="20"/>
          <w:szCs w:val="20"/>
          <w:lang w:eastAsia="en-US"/>
        </w:rPr>
        <w:t>FINSKA</w:t>
      </w:r>
    </w:p>
    <w:p w14:paraId="403B857C" w14:textId="77777777" w:rsidR="00353AAD" w:rsidRPr="008B082F" w:rsidRDefault="00353AAD" w:rsidP="00353AAD">
      <w:pPr>
        <w:pStyle w:val="Neotevilenodstavek"/>
        <w:spacing w:before="0" w:after="0" w:line="240" w:lineRule="atLeast"/>
        <w:rPr>
          <w:sz w:val="20"/>
          <w:szCs w:val="20"/>
          <w:lang w:eastAsia="en-US"/>
        </w:rPr>
      </w:pPr>
      <w:r w:rsidRPr="2941E8F6">
        <w:rPr>
          <w:sz w:val="20"/>
          <w:szCs w:val="20"/>
          <w:lang w:eastAsia="en-US"/>
        </w:rPr>
        <w:t>Na Finskem imajo že vzpostavljene strukture, podobne tistim, ki jih zahteva II. poglavje Uredbe 2022/868/EU. Pristojna organa po 7. členu Uredbe 2022/868/EU sta njihov statistični urad ter Findata, ki je državni organ za socialne in zdravstvene podatke (za sekundarno uporabo podatkov o socialnem in zdravstvenem varstvu). Za pristojni organ za storitve posredovanja podatkov (13. člen Uredbe 2022/868/EU) ter za registracijo organizacij za podatkovni altruizem (23. člen Uredbe 2022/868/EU) so določili agencijo za promet in komunikacije.</w:t>
      </w:r>
    </w:p>
    <w:p w14:paraId="467CBF23" w14:textId="77777777" w:rsidR="00353AAD" w:rsidRPr="0028272D" w:rsidRDefault="00353AAD" w:rsidP="00353AAD">
      <w:pPr>
        <w:pStyle w:val="Neotevilenodstavek"/>
        <w:spacing w:before="0" w:after="0" w:line="240" w:lineRule="atLeast"/>
        <w:rPr>
          <w:sz w:val="20"/>
          <w:szCs w:val="20"/>
          <w:lang w:eastAsia="en-US"/>
        </w:rPr>
      </w:pPr>
    </w:p>
    <w:p w14:paraId="3ABD7A6E" w14:textId="77777777" w:rsidR="00353AAD" w:rsidRPr="0028272D" w:rsidRDefault="00353AAD" w:rsidP="00353AAD">
      <w:pPr>
        <w:pStyle w:val="Neotevilenodstavek"/>
        <w:spacing w:before="0" w:after="0" w:line="240" w:lineRule="atLeast"/>
        <w:rPr>
          <w:sz w:val="20"/>
          <w:szCs w:val="20"/>
          <w:lang w:eastAsia="en-US"/>
        </w:rPr>
      </w:pPr>
    </w:p>
    <w:p w14:paraId="120EAA33" w14:textId="77777777" w:rsidR="00353AAD" w:rsidRPr="00E10C0F" w:rsidRDefault="00353AAD" w:rsidP="00353AAD">
      <w:pPr>
        <w:pStyle w:val="Neotevilenodstavek"/>
        <w:spacing w:before="0" w:after="0" w:line="240" w:lineRule="atLeast"/>
        <w:rPr>
          <w:b/>
          <w:bCs/>
          <w:sz w:val="20"/>
          <w:szCs w:val="20"/>
          <w:lang w:eastAsia="en-US"/>
        </w:rPr>
      </w:pPr>
      <w:r w:rsidRPr="00E10C0F">
        <w:rPr>
          <w:b/>
          <w:bCs/>
          <w:sz w:val="20"/>
          <w:szCs w:val="20"/>
          <w:lang w:eastAsia="en-US"/>
        </w:rPr>
        <w:t>MADŽARSKA</w:t>
      </w:r>
    </w:p>
    <w:p w14:paraId="57A43101" w14:textId="77777777" w:rsidR="00353AAD" w:rsidRPr="0028272D" w:rsidRDefault="00353AAD" w:rsidP="00353AAD">
      <w:pPr>
        <w:pStyle w:val="Neotevilenodstavek"/>
        <w:spacing w:before="0" w:after="0" w:line="240" w:lineRule="atLeast"/>
        <w:rPr>
          <w:sz w:val="20"/>
          <w:szCs w:val="20"/>
          <w:lang w:eastAsia="en-US"/>
        </w:rPr>
      </w:pPr>
      <w:r w:rsidRPr="2941E8F6">
        <w:rPr>
          <w:sz w:val="20"/>
          <w:szCs w:val="20"/>
          <w:lang w:eastAsia="en-US"/>
        </w:rPr>
        <w:t>Sprejet je bil</w:t>
      </w:r>
      <w:r>
        <w:rPr>
          <w:sz w:val="20"/>
          <w:szCs w:val="20"/>
          <w:lang w:eastAsia="en-US"/>
        </w:rPr>
        <w:t xml:space="preserve"> </w:t>
      </w:r>
      <w:r w:rsidRPr="2941E8F6">
        <w:rPr>
          <w:sz w:val="20"/>
          <w:szCs w:val="20"/>
          <w:lang w:eastAsia="en-US"/>
        </w:rPr>
        <w:t>zakon, s katerim je bila nacionalna agencija za podatkovna sredstva imenovana za izvajanje nalog enotne informacijske točke po 8. členu Uredbe 2022/868/EU in osrednjega pristojnega organa po 7. členu Uredbe 2022/868/EU, ki se izvajajo v okviru temeljnih nalog agencije. Vzpostavitev varnega okolja za ponovno uporabo zaščitenih podatkov, ki spadajo v eno ali več kategorij podatkov iz prvega odstavka 3. člena Uredbe 2022/868/EU, bodo zagotovili od leta 2026 dalje.</w:t>
      </w:r>
    </w:p>
    <w:p w14:paraId="50F8E255" w14:textId="67EFDB57" w:rsidR="00353AAD" w:rsidRPr="0028272D" w:rsidRDefault="00353AAD" w:rsidP="00353AAD">
      <w:pPr>
        <w:pStyle w:val="Neotevilenodstavek"/>
        <w:spacing w:before="0" w:after="0" w:line="240" w:lineRule="atLeast"/>
        <w:rPr>
          <w:sz w:val="20"/>
          <w:szCs w:val="20"/>
          <w:lang w:eastAsia="en-US"/>
        </w:rPr>
      </w:pPr>
      <w:r w:rsidRPr="2941E8F6">
        <w:rPr>
          <w:sz w:val="20"/>
          <w:szCs w:val="20"/>
          <w:lang w:eastAsia="en-US"/>
        </w:rPr>
        <w:t>Nacionalni organ za varstvo podatkov in svobodo informacij (</w:t>
      </w:r>
      <w:hyperlink r:id="rId12">
        <w:r w:rsidRPr="2941E8F6">
          <w:rPr>
            <w:sz w:val="20"/>
            <w:szCs w:val="20"/>
            <w:lang w:eastAsia="en-US"/>
          </w:rPr>
          <w:t>https://www.naih.hu/about-the-authority</w:t>
        </w:r>
      </w:hyperlink>
      <w:r w:rsidRPr="2941E8F6">
        <w:rPr>
          <w:sz w:val="20"/>
          <w:szCs w:val="20"/>
          <w:lang w:eastAsia="en-US"/>
        </w:rPr>
        <w:t>) je bil 1. januarja 2024 imenovan za pristojni organ za storitve posredovanja podatkov (13. člen Uredbe 2022/868/EU) ter za registracijo organizacij za podatkovni altruizem (23. člen Uredbe 2022/868/EU). Oddelki 2(2a), 38(2c), 38(3)(i), 64/E - 64/H, 72(1)(g) zakona CXII iz leta 2011 o pravici do informacijske samoodločbe in o svobodi obveščanja določajo postopkovna pravila za organ. Organ je ustanovil novo enoto za naloge v zvezi z Uredbo 2022/868/EU in primeri varstva podatkov, v povezavami z novimi tehnologijami. Ta nova enota naj bi se kasneje razširila in bo odgovorna tudi za naloge organa za varstvo podatkov po EU Uredbi o podatkih in EU Uredbi o umetni inteligenci.</w:t>
      </w:r>
    </w:p>
    <w:p w14:paraId="770FB117" w14:textId="77777777" w:rsidR="00353AAD" w:rsidRPr="0028272D" w:rsidRDefault="00353AAD" w:rsidP="00353AAD">
      <w:pPr>
        <w:pStyle w:val="Neotevilenodstavek"/>
        <w:spacing w:before="0" w:after="0" w:line="240" w:lineRule="atLeast"/>
        <w:rPr>
          <w:sz w:val="20"/>
          <w:szCs w:val="20"/>
          <w:lang w:eastAsia="en-US"/>
        </w:rPr>
      </w:pPr>
    </w:p>
    <w:p w14:paraId="3009B3DF" w14:textId="77777777" w:rsidR="00353AAD" w:rsidRPr="0028272D" w:rsidRDefault="00353AAD" w:rsidP="00353AAD">
      <w:pPr>
        <w:pStyle w:val="Neotevilenodstavek"/>
        <w:spacing w:before="0" w:after="0" w:line="240" w:lineRule="atLeast"/>
        <w:rPr>
          <w:sz w:val="20"/>
          <w:szCs w:val="20"/>
          <w:lang w:eastAsia="en-US"/>
        </w:rPr>
      </w:pPr>
      <w:r w:rsidRPr="2941E8F6">
        <w:rPr>
          <w:sz w:val="20"/>
          <w:szCs w:val="20"/>
          <w:lang w:eastAsia="en-US"/>
        </w:rPr>
        <w:t>Vladni odloki v zvezi s pristojbino za registracijo ponudnikov podatkovnih posrednikov in podatkovnih altruističnih organizacij še niso sprejeti, poleg tega pa še niso sprejeta postopkovna pravila za prijavo registracij Komisiji. Organ je prvo obvestilo o registraciji ponudnika storitev podatkovnega posrednika Komisiji poslal po elektronski pošti.</w:t>
      </w:r>
    </w:p>
    <w:p w14:paraId="7F4636DE" w14:textId="77777777" w:rsidR="00353AAD" w:rsidRDefault="00353AAD" w:rsidP="00353AAD">
      <w:pPr>
        <w:pStyle w:val="Neotevilenodstavek"/>
        <w:spacing w:before="0" w:after="0" w:line="260" w:lineRule="exact"/>
        <w:rPr>
          <w:sz w:val="20"/>
          <w:szCs w:val="20"/>
          <w:lang w:eastAsia="en-US"/>
        </w:rPr>
      </w:pPr>
    </w:p>
    <w:p w14:paraId="43B3E014" w14:textId="77777777" w:rsidR="00353AAD" w:rsidRDefault="00353AAD" w:rsidP="00353AAD">
      <w:pPr>
        <w:pStyle w:val="Neotevilenodstavek"/>
        <w:spacing w:before="0" w:after="0" w:line="240" w:lineRule="atLeast"/>
        <w:rPr>
          <w:sz w:val="20"/>
          <w:szCs w:val="20"/>
          <w:lang w:eastAsia="en-US"/>
        </w:rPr>
      </w:pPr>
    </w:p>
    <w:p w14:paraId="66A83BCD" w14:textId="77777777" w:rsidR="00353AAD" w:rsidRPr="008736A3" w:rsidRDefault="00353AAD" w:rsidP="00353AAD">
      <w:pPr>
        <w:pStyle w:val="Neotevilenodstavek"/>
        <w:spacing w:before="0" w:after="0" w:line="240" w:lineRule="atLeast"/>
        <w:rPr>
          <w:b/>
          <w:bCs/>
          <w:sz w:val="20"/>
          <w:szCs w:val="20"/>
          <w:lang w:eastAsia="en-US"/>
        </w:rPr>
      </w:pPr>
      <w:r w:rsidRPr="008736A3">
        <w:rPr>
          <w:b/>
          <w:bCs/>
          <w:sz w:val="20"/>
          <w:szCs w:val="20"/>
          <w:lang w:eastAsia="en-US"/>
        </w:rPr>
        <w:t>BOLGARIJA</w:t>
      </w:r>
    </w:p>
    <w:p w14:paraId="5F0B0DD3" w14:textId="77777777" w:rsidR="00353AAD" w:rsidRDefault="00353AAD" w:rsidP="00353AAD">
      <w:pPr>
        <w:pStyle w:val="Neotevilenodstavek"/>
        <w:spacing w:before="0" w:after="0" w:line="240" w:lineRule="atLeast"/>
        <w:rPr>
          <w:sz w:val="20"/>
          <w:szCs w:val="20"/>
          <w:lang w:eastAsia="en-US"/>
        </w:rPr>
      </w:pPr>
      <w:r w:rsidRPr="2941E8F6">
        <w:rPr>
          <w:sz w:val="20"/>
          <w:szCs w:val="20"/>
          <w:lang w:eastAsia="en-US"/>
        </w:rPr>
        <w:t>Pristojni organi v Bolgariji so bili imenovani z vladnim sklepom dne 27. septembra 2023.  Vlada je kot pristojna organa za izvajanje 7. člena Uredbe 2022/868/EU imenovala Ministrstvo za e-upravo in Državni statistični inštitut. Za pristojni organ za storitve posredovanja podatkov (13. člen Uredba 2022/868/EU) ter za registracijo organizacij za podatkovni altruizem (23. člen Uredba 2022/868/EU) so določili Ministrstvo za e-upravo.</w:t>
      </w:r>
    </w:p>
    <w:p w14:paraId="0563CD7F" w14:textId="77777777" w:rsidR="00E91C48" w:rsidRPr="009564C3" w:rsidRDefault="00E91C48" w:rsidP="00694DC1">
      <w:pPr>
        <w:spacing w:line="240" w:lineRule="atLeast"/>
        <w:jc w:val="both"/>
        <w:rPr>
          <w:szCs w:val="20"/>
          <w:lang w:val="sl-SI"/>
        </w:rPr>
      </w:pPr>
    </w:p>
    <w:p w14:paraId="69737509" w14:textId="77777777" w:rsidR="008B5E73" w:rsidRDefault="008B5E73" w:rsidP="00694DC1">
      <w:pPr>
        <w:spacing w:line="240" w:lineRule="atLeast"/>
        <w:jc w:val="both"/>
        <w:rPr>
          <w:b/>
          <w:szCs w:val="20"/>
          <w:lang w:val="sl-SI"/>
        </w:rPr>
      </w:pPr>
    </w:p>
    <w:p w14:paraId="2B5F5E40" w14:textId="705D5DF4" w:rsidR="00AF5D29" w:rsidRPr="008B5E73" w:rsidRDefault="00AF5D29" w:rsidP="00694DC1">
      <w:pPr>
        <w:spacing w:line="240" w:lineRule="atLeast"/>
        <w:jc w:val="both"/>
        <w:rPr>
          <w:b/>
          <w:szCs w:val="20"/>
          <w:lang w:val="sl-SI"/>
        </w:rPr>
      </w:pPr>
      <w:r w:rsidRPr="009564C3">
        <w:rPr>
          <w:b/>
          <w:szCs w:val="20"/>
          <w:lang w:val="sl-SI"/>
        </w:rPr>
        <w:t>6. PRESOJA POSLEDIC</w:t>
      </w:r>
      <w:r w:rsidR="00DD7562">
        <w:rPr>
          <w:b/>
          <w:szCs w:val="20"/>
          <w:lang w:val="sl-SI"/>
        </w:rPr>
        <w:t>, KI JIH BO IMEL SPREJEM ZAKONA</w:t>
      </w:r>
    </w:p>
    <w:p w14:paraId="04AF8868" w14:textId="77777777" w:rsidR="00AF5D29" w:rsidRPr="009564C3" w:rsidRDefault="00AF5D29" w:rsidP="00694DC1">
      <w:pPr>
        <w:spacing w:line="240" w:lineRule="atLeast"/>
        <w:jc w:val="both"/>
        <w:rPr>
          <w:b/>
          <w:szCs w:val="20"/>
          <w:lang w:val="sl-SI"/>
        </w:rPr>
      </w:pPr>
    </w:p>
    <w:p w14:paraId="4F19863B" w14:textId="77777777" w:rsidR="0055025E" w:rsidRDefault="00AF5D29" w:rsidP="00694DC1">
      <w:pPr>
        <w:spacing w:line="240" w:lineRule="atLeast"/>
        <w:jc w:val="both"/>
        <w:rPr>
          <w:b/>
          <w:szCs w:val="20"/>
          <w:lang w:val="sl-SI"/>
        </w:rPr>
      </w:pPr>
      <w:r w:rsidRPr="009564C3">
        <w:rPr>
          <w:b/>
          <w:szCs w:val="20"/>
          <w:lang w:val="sl-SI"/>
        </w:rPr>
        <w:t xml:space="preserve">6.1 </w:t>
      </w:r>
      <w:r w:rsidR="00431515">
        <w:rPr>
          <w:b/>
          <w:szCs w:val="20"/>
          <w:lang w:val="sl-SI"/>
        </w:rPr>
        <w:t xml:space="preserve">Presoja </w:t>
      </w:r>
      <w:r w:rsidR="0055025E">
        <w:rPr>
          <w:b/>
          <w:szCs w:val="20"/>
          <w:lang w:val="sl-SI"/>
        </w:rPr>
        <w:t>a</w:t>
      </w:r>
      <w:r w:rsidRPr="009564C3">
        <w:rPr>
          <w:b/>
          <w:szCs w:val="20"/>
          <w:lang w:val="sl-SI"/>
        </w:rPr>
        <w:t>dministrativn</w:t>
      </w:r>
      <w:r w:rsidR="0055025E">
        <w:rPr>
          <w:b/>
          <w:szCs w:val="20"/>
          <w:lang w:val="sl-SI"/>
        </w:rPr>
        <w:t>ih</w:t>
      </w:r>
      <w:r w:rsidRPr="009564C3">
        <w:rPr>
          <w:b/>
          <w:szCs w:val="20"/>
          <w:lang w:val="sl-SI"/>
        </w:rPr>
        <w:t xml:space="preserve"> posledic</w:t>
      </w:r>
    </w:p>
    <w:p w14:paraId="17E34A58" w14:textId="77777777" w:rsidR="0055025E" w:rsidRDefault="0055025E" w:rsidP="00694DC1">
      <w:pPr>
        <w:spacing w:line="240" w:lineRule="atLeast"/>
        <w:jc w:val="both"/>
        <w:rPr>
          <w:b/>
          <w:szCs w:val="20"/>
          <w:lang w:val="sl-SI"/>
        </w:rPr>
      </w:pPr>
    </w:p>
    <w:p w14:paraId="406C5B89" w14:textId="77777777" w:rsidR="0055025E" w:rsidRDefault="0055025E" w:rsidP="00694DC1">
      <w:pPr>
        <w:spacing w:line="240" w:lineRule="atLeast"/>
        <w:jc w:val="both"/>
        <w:rPr>
          <w:b/>
          <w:szCs w:val="20"/>
          <w:lang w:val="sl-SI"/>
        </w:rPr>
      </w:pPr>
      <w:r>
        <w:rPr>
          <w:b/>
          <w:szCs w:val="20"/>
          <w:lang w:val="sl-SI"/>
        </w:rPr>
        <w:t xml:space="preserve">a) v postopkih oziroma poslovanju javne uprave ali pravosodnih organov: </w:t>
      </w:r>
    </w:p>
    <w:p w14:paraId="785B7172" w14:textId="77777777" w:rsidR="004C3D49" w:rsidRPr="004C3D49" w:rsidRDefault="004C3D49" w:rsidP="004C3D49">
      <w:pPr>
        <w:spacing w:line="240" w:lineRule="atLeast"/>
        <w:jc w:val="both"/>
        <w:rPr>
          <w:szCs w:val="20"/>
          <w:lang w:val="sl-SI"/>
        </w:rPr>
      </w:pPr>
      <w:r w:rsidRPr="004C3D49">
        <w:rPr>
          <w:szCs w:val="20"/>
          <w:lang w:val="sl-SI"/>
        </w:rPr>
        <w:t>V skladu s 5., 7. in 26. členom Uredbe 2022/868/EU morajo države članice EU zagotoviti, da imajo njihovi pristojni organi na voljo vire za opravljanje svojih nalog, vključno z zadostnimi tehničnimi, finančnimi in človeškimi viri. Predlog zakona določa pristojne organe za izvajanje nalog iz 7., 8., 9., 13,. 14., 23. in 24. člena Uredbe 2022/868/EU. Ker predlog zakona ne ustanavlja novih organov, temveč podeljuje pristojnosti že obstoječim, so administrativna bremena manjša. Naloge bodo izvajali Ministrstvo za digitalno preobrazbo, Ministrstvo za javno upravo, Inšpektorat RS za informacijsko družbo in Informacijski pooblaščenec. Sprejem zakona bo sicer uvedel nove postopke, ki jih bodo vodili zaposleni pri teh organih, in sicer:</w:t>
      </w:r>
    </w:p>
    <w:p w14:paraId="671C2AA2" w14:textId="6DE49BF3" w:rsidR="004C3D49" w:rsidRPr="004C3D49" w:rsidRDefault="004C3D49" w:rsidP="004C3D49">
      <w:pPr>
        <w:pStyle w:val="Odstavekseznama"/>
        <w:numPr>
          <w:ilvl w:val="0"/>
          <w:numId w:val="33"/>
        </w:numPr>
        <w:spacing w:line="240" w:lineRule="atLeast"/>
        <w:jc w:val="both"/>
        <w:rPr>
          <w:szCs w:val="20"/>
          <w:lang w:val="sl-SI"/>
        </w:rPr>
      </w:pPr>
      <w:r w:rsidRPr="004C3D49">
        <w:rPr>
          <w:szCs w:val="20"/>
          <w:lang w:val="sl-SI"/>
        </w:rPr>
        <w:t xml:space="preserve">pomoč organom javnega sektorja, ki odobrijo ali zavrnejo dostop za ponovno uporabo zaščitenih kategorij podatkov javnega sektorja (7. člen Uredbe 2022/868/EU), </w:t>
      </w:r>
    </w:p>
    <w:p w14:paraId="3E9C6B62" w14:textId="014928A6" w:rsidR="004C3D49" w:rsidRPr="004C3D49" w:rsidRDefault="004C3D49" w:rsidP="004C3D49">
      <w:pPr>
        <w:pStyle w:val="Odstavekseznama"/>
        <w:numPr>
          <w:ilvl w:val="0"/>
          <w:numId w:val="33"/>
        </w:numPr>
        <w:spacing w:line="240" w:lineRule="atLeast"/>
        <w:jc w:val="both"/>
        <w:rPr>
          <w:szCs w:val="20"/>
          <w:lang w:val="sl-SI"/>
        </w:rPr>
      </w:pPr>
      <w:r w:rsidRPr="004C3D49">
        <w:rPr>
          <w:szCs w:val="20"/>
          <w:lang w:val="sl-SI"/>
        </w:rPr>
        <w:t xml:space="preserve">vzpostavitev enotne informacijske točke v zvezi s ponovno uporabo zaščitenih podatkov javnega sektorja (8. člen Uredbe 2022/868/EU), </w:t>
      </w:r>
    </w:p>
    <w:p w14:paraId="11D062F9" w14:textId="66F22C78" w:rsidR="004C3D49" w:rsidRPr="004C3D49" w:rsidRDefault="004C3D49" w:rsidP="004C3D49">
      <w:pPr>
        <w:pStyle w:val="Odstavekseznama"/>
        <w:numPr>
          <w:ilvl w:val="0"/>
          <w:numId w:val="33"/>
        </w:numPr>
        <w:spacing w:line="240" w:lineRule="atLeast"/>
        <w:jc w:val="both"/>
        <w:rPr>
          <w:szCs w:val="20"/>
          <w:lang w:val="sl-SI"/>
        </w:rPr>
      </w:pPr>
      <w:r w:rsidRPr="004C3D49">
        <w:rPr>
          <w:szCs w:val="20"/>
          <w:lang w:val="sl-SI"/>
        </w:rPr>
        <w:t xml:space="preserve">pritožbeni postopek v primerih ponovne uporabe zaščitenih podatkov javnega sektorja (tretji odstavek 9. člena Uredbe 2022/868/EU), </w:t>
      </w:r>
    </w:p>
    <w:p w14:paraId="0271B22B" w14:textId="7CA35494" w:rsidR="004C3D49" w:rsidRPr="004C3D49" w:rsidRDefault="004C3D49" w:rsidP="004C3D49">
      <w:pPr>
        <w:pStyle w:val="Odstavekseznama"/>
        <w:numPr>
          <w:ilvl w:val="0"/>
          <w:numId w:val="33"/>
        </w:numPr>
        <w:spacing w:line="240" w:lineRule="atLeast"/>
        <w:jc w:val="both"/>
        <w:rPr>
          <w:szCs w:val="20"/>
          <w:lang w:val="sl-SI"/>
        </w:rPr>
      </w:pPr>
      <w:r w:rsidRPr="004C3D49">
        <w:rPr>
          <w:szCs w:val="20"/>
          <w:lang w:val="sl-SI"/>
        </w:rPr>
        <w:t xml:space="preserve">priglasitveni postopek za storitve posredovanja podatkov (13. člen Uredbe 2022/868/EU), </w:t>
      </w:r>
    </w:p>
    <w:p w14:paraId="5ECCC894" w14:textId="4B10DE0D" w:rsidR="004C3D49" w:rsidRPr="004C3D49" w:rsidRDefault="004C3D49" w:rsidP="004C3D49">
      <w:pPr>
        <w:pStyle w:val="Odstavekseznama"/>
        <w:numPr>
          <w:ilvl w:val="0"/>
          <w:numId w:val="33"/>
        </w:numPr>
        <w:spacing w:line="240" w:lineRule="atLeast"/>
        <w:jc w:val="both"/>
        <w:rPr>
          <w:szCs w:val="20"/>
          <w:lang w:val="sl-SI"/>
        </w:rPr>
      </w:pPr>
      <w:r w:rsidRPr="004C3D49">
        <w:rPr>
          <w:szCs w:val="20"/>
          <w:lang w:val="sl-SI"/>
        </w:rPr>
        <w:t xml:space="preserve">postopek registracije in vodenje registra priznanih organizacij za podatkovni altruizem (23. člen Uredbe 2022/868/EU), in </w:t>
      </w:r>
    </w:p>
    <w:p w14:paraId="7137AF01" w14:textId="26B57E15" w:rsidR="004C3D49" w:rsidRPr="004C3D49" w:rsidRDefault="004C3D49" w:rsidP="004C3D49">
      <w:pPr>
        <w:pStyle w:val="Odstavekseznama"/>
        <w:numPr>
          <w:ilvl w:val="0"/>
          <w:numId w:val="33"/>
        </w:numPr>
        <w:spacing w:line="240" w:lineRule="atLeast"/>
        <w:jc w:val="both"/>
        <w:rPr>
          <w:szCs w:val="20"/>
          <w:lang w:val="sl-SI"/>
        </w:rPr>
      </w:pPr>
      <w:r w:rsidRPr="004C3D49">
        <w:rPr>
          <w:szCs w:val="20"/>
          <w:lang w:val="sl-SI"/>
        </w:rPr>
        <w:t>izvajanje nadzora nad izvajanjem Uredbe 2022/868/EU (14. in 24. člen Uredbe 2022/868/EU).</w:t>
      </w:r>
    </w:p>
    <w:p w14:paraId="0041B706" w14:textId="77777777" w:rsidR="004C3D49" w:rsidRPr="004C3D49" w:rsidRDefault="004C3D49" w:rsidP="004C3D49">
      <w:pPr>
        <w:spacing w:line="240" w:lineRule="atLeast"/>
        <w:jc w:val="both"/>
        <w:rPr>
          <w:szCs w:val="20"/>
          <w:lang w:val="sl-SI"/>
        </w:rPr>
      </w:pPr>
    </w:p>
    <w:p w14:paraId="741705D1" w14:textId="77777777" w:rsidR="004C3D49" w:rsidRPr="004C3D49" w:rsidRDefault="004C3D49" w:rsidP="004C3D49">
      <w:pPr>
        <w:spacing w:line="240" w:lineRule="atLeast"/>
        <w:jc w:val="both"/>
        <w:rPr>
          <w:szCs w:val="20"/>
          <w:lang w:val="sl-SI"/>
        </w:rPr>
      </w:pPr>
      <w:r w:rsidRPr="004C3D49">
        <w:rPr>
          <w:szCs w:val="20"/>
          <w:lang w:val="sl-SI"/>
        </w:rPr>
        <w:t>Za izvajanje zgornjih postopkov bo potrebno poleg finančnih virov zagotoviti tudi dodatne zaposlitve, saj gre za popolnoma novo vrsto nalog, ki vsebinsko ne spadajo v obstoječa delovna področja ministrstva, dodatno zaposlene pa bo potrebno primerno usposobiti (potrebna dodatna usposabljanja, finančna in materialna sredstva).</w:t>
      </w:r>
    </w:p>
    <w:p w14:paraId="32471C50" w14:textId="77777777" w:rsidR="004C3D49" w:rsidRPr="004C3D49" w:rsidRDefault="004C3D49" w:rsidP="004C3D49">
      <w:pPr>
        <w:spacing w:line="240" w:lineRule="atLeast"/>
        <w:jc w:val="both"/>
        <w:rPr>
          <w:szCs w:val="20"/>
          <w:lang w:val="sl-SI"/>
        </w:rPr>
      </w:pPr>
    </w:p>
    <w:p w14:paraId="3D7BB1D8" w14:textId="6D15F4D0" w:rsidR="004C3D49" w:rsidRDefault="004C3D49" w:rsidP="004C3D49">
      <w:pPr>
        <w:spacing w:line="240" w:lineRule="atLeast"/>
        <w:jc w:val="both"/>
        <w:rPr>
          <w:szCs w:val="20"/>
          <w:lang w:val="sl-SI"/>
        </w:rPr>
      </w:pPr>
      <w:r w:rsidRPr="004C3D49">
        <w:rPr>
          <w:szCs w:val="20"/>
          <w:lang w:val="sl-SI"/>
        </w:rPr>
        <w:t>Predlog zakona stremi k poenostavitvam in manjšanju administrativnih bremen, kjer je to glede na okoliščine in vsebino mogoče in primerno.</w:t>
      </w:r>
    </w:p>
    <w:p w14:paraId="7DA65D94" w14:textId="779D63FC" w:rsidR="0055025E" w:rsidRPr="009564C3" w:rsidRDefault="0055025E" w:rsidP="00694DC1">
      <w:pPr>
        <w:spacing w:line="240" w:lineRule="atLeast"/>
        <w:jc w:val="both"/>
        <w:rPr>
          <w:szCs w:val="20"/>
          <w:lang w:val="sl-SI"/>
        </w:rPr>
      </w:pPr>
    </w:p>
    <w:p w14:paraId="6251D4D6" w14:textId="77777777" w:rsidR="0055025E" w:rsidRDefault="0055025E" w:rsidP="00694DC1">
      <w:pPr>
        <w:spacing w:line="240" w:lineRule="atLeast"/>
        <w:jc w:val="both"/>
        <w:rPr>
          <w:b/>
          <w:szCs w:val="20"/>
          <w:lang w:val="sl-SI"/>
        </w:rPr>
      </w:pPr>
    </w:p>
    <w:p w14:paraId="5D10B860" w14:textId="616B8F05" w:rsidR="00AF5D29" w:rsidRPr="009564C3" w:rsidRDefault="0055025E" w:rsidP="00694DC1">
      <w:pPr>
        <w:spacing w:line="240" w:lineRule="atLeast"/>
        <w:jc w:val="both"/>
        <w:rPr>
          <w:b/>
          <w:szCs w:val="20"/>
          <w:lang w:val="sl-SI"/>
        </w:rPr>
      </w:pPr>
      <w:r>
        <w:rPr>
          <w:b/>
          <w:szCs w:val="20"/>
          <w:lang w:val="sl-SI"/>
        </w:rPr>
        <w:t>b) pri obveznostih strank do javne uprave ali pravosodnih organov:</w:t>
      </w:r>
      <w:r w:rsidR="00AF5D29" w:rsidRPr="009564C3">
        <w:rPr>
          <w:b/>
          <w:szCs w:val="20"/>
          <w:lang w:val="sl-SI"/>
        </w:rPr>
        <w:t xml:space="preserve"> </w:t>
      </w:r>
    </w:p>
    <w:p w14:paraId="657E165C" w14:textId="1509FA9B" w:rsidR="00AF5D29" w:rsidRPr="009564C3" w:rsidRDefault="00B32646" w:rsidP="00694DC1">
      <w:pPr>
        <w:spacing w:line="240" w:lineRule="atLeast"/>
        <w:jc w:val="both"/>
        <w:rPr>
          <w:szCs w:val="20"/>
          <w:lang w:val="sl-SI"/>
        </w:rPr>
      </w:pPr>
      <w:r>
        <w:rPr>
          <w:szCs w:val="20"/>
          <w:lang w:val="sl-SI"/>
        </w:rPr>
        <w:t xml:space="preserve">Sprejem zakona ne bo imel posledic za obveznosti strank do javne uprave. </w:t>
      </w:r>
    </w:p>
    <w:p w14:paraId="1CB40528" w14:textId="77777777" w:rsidR="00AF5D29" w:rsidRPr="009564C3" w:rsidRDefault="00AF5D29" w:rsidP="00694DC1">
      <w:pPr>
        <w:spacing w:line="240" w:lineRule="atLeast"/>
        <w:jc w:val="both"/>
        <w:rPr>
          <w:szCs w:val="20"/>
          <w:lang w:val="sl-SI"/>
        </w:rPr>
      </w:pPr>
    </w:p>
    <w:p w14:paraId="41367FA3" w14:textId="77777777" w:rsidR="00AF5D29" w:rsidRPr="009564C3" w:rsidRDefault="00AF5D29" w:rsidP="00694DC1">
      <w:pPr>
        <w:spacing w:line="240" w:lineRule="atLeast"/>
        <w:jc w:val="both"/>
        <w:rPr>
          <w:szCs w:val="20"/>
          <w:lang w:val="sl-SI"/>
        </w:rPr>
      </w:pPr>
    </w:p>
    <w:p w14:paraId="62CB5B37" w14:textId="00BC349D" w:rsidR="00AF5D29" w:rsidRPr="009564C3" w:rsidRDefault="00AF5D29" w:rsidP="00694DC1">
      <w:pPr>
        <w:spacing w:line="240" w:lineRule="atLeast"/>
        <w:jc w:val="both"/>
        <w:rPr>
          <w:b/>
          <w:szCs w:val="20"/>
          <w:lang w:val="sl-SI"/>
        </w:rPr>
      </w:pPr>
      <w:r w:rsidRPr="009564C3">
        <w:rPr>
          <w:b/>
          <w:szCs w:val="20"/>
          <w:lang w:val="sl-SI"/>
        </w:rPr>
        <w:t xml:space="preserve">6.2 Presoja posledic </w:t>
      </w:r>
      <w:r w:rsidR="00C337A6">
        <w:rPr>
          <w:b/>
          <w:szCs w:val="20"/>
          <w:lang w:val="sl-SI"/>
        </w:rPr>
        <w:t>z</w:t>
      </w:r>
      <w:r w:rsidRPr="009564C3">
        <w:rPr>
          <w:b/>
          <w:szCs w:val="20"/>
          <w:lang w:val="sl-SI"/>
        </w:rPr>
        <w:t>a okolje, vključ</w:t>
      </w:r>
      <w:r w:rsidR="0055025E">
        <w:rPr>
          <w:b/>
          <w:szCs w:val="20"/>
          <w:lang w:val="sl-SI"/>
        </w:rPr>
        <w:t xml:space="preserve">no s prostorskimi in varstvenimi vidiki </w:t>
      </w:r>
      <w:r w:rsidRPr="009564C3">
        <w:rPr>
          <w:b/>
          <w:szCs w:val="20"/>
          <w:lang w:val="sl-SI"/>
        </w:rPr>
        <w:t xml:space="preserve"> </w:t>
      </w:r>
    </w:p>
    <w:p w14:paraId="338535BA" w14:textId="29FA93E0" w:rsidR="00AF5D29" w:rsidRPr="009564C3" w:rsidRDefault="00B32646" w:rsidP="00694DC1">
      <w:pPr>
        <w:spacing w:line="240" w:lineRule="atLeast"/>
        <w:jc w:val="both"/>
        <w:rPr>
          <w:szCs w:val="20"/>
          <w:lang w:val="sl-SI"/>
        </w:rPr>
      </w:pPr>
      <w:r>
        <w:rPr>
          <w:szCs w:val="20"/>
          <w:lang w:val="sl-SI"/>
        </w:rPr>
        <w:t xml:space="preserve">Sprejem zakona ne bo imel </w:t>
      </w:r>
      <w:r w:rsidR="00AF5D29" w:rsidRPr="005F16FE">
        <w:rPr>
          <w:szCs w:val="20"/>
          <w:lang w:val="sl-SI"/>
        </w:rPr>
        <w:t>posledic za okolje.</w:t>
      </w:r>
    </w:p>
    <w:p w14:paraId="186AF312" w14:textId="77777777" w:rsidR="00AF5D29" w:rsidRDefault="00AF5D29" w:rsidP="00694DC1">
      <w:pPr>
        <w:spacing w:line="240" w:lineRule="atLeast"/>
        <w:jc w:val="both"/>
        <w:rPr>
          <w:szCs w:val="20"/>
          <w:lang w:val="sl-SI"/>
        </w:rPr>
      </w:pPr>
    </w:p>
    <w:p w14:paraId="7C2DA77B" w14:textId="77777777" w:rsidR="00F20AB6" w:rsidRPr="009564C3" w:rsidRDefault="00F20AB6" w:rsidP="00694DC1">
      <w:pPr>
        <w:spacing w:line="240" w:lineRule="atLeast"/>
        <w:jc w:val="both"/>
        <w:rPr>
          <w:szCs w:val="20"/>
          <w:lang w:val="sl-SI"/>
        </w:rPr>
      </w:pPr>
    </w:p>
    <w:p w14:paraId="27152508" w14:textId="5140EC6F" w:rsidR="00AF5D29" w:rsidRPr="00B32646" w:rsidRDefault="00AF5D29" w:rsidP="00694DC1">
      <w:pPr>
        <w:spacing w:line="240" w:lineRule="atLeast"/>
        <w:jc w:val="both"/>
        <w:rPr>
          <w:b/>
          <w:szCs w:val="20"/>
          <w:lang w:val="sl-SI"/>
        </w:rPr>
      </w:pPr>
      <w:r w:rsidRPr="009564C3">
        <w:rPr>
          <w:b/>
          <w:szCs w:val="20"/>
          <w:lang w:val="sl-SI"/>
        </w:rPr>
        <w:t xml:space="preserve">6.3 Presoja posledic </w:t>
      </w:r>
      <w:r w:rsidR="00C337A6">
        <w:rPr>
          <w:b/>
          <w:szCs w:val="20"/>
          <w:lang w:val="sl-SI"/>
        </w:rPr>
        <w:t>z</w:t>
      </w:r>
      <w:r w:rsidRPr="009564C3">
        <w:rPr>
          <w:b/>
          <w:szCs w:val="20"/>
          <w:lang w:val="sl-SI"/>
        </w:rPr>
        <w:t>a gospodarstvo</w:t>
      </w:r>
    </w:p>
    <w:p w14:paraId="609EB3C3" w14:textId="5194A7C8" w:rsidR="004C3D49" w:rsidRPr="004C3D49" w:rsidRDefault="004C3D49" w:rsidP="00F1578F">
      <w:pPr>
        <w:pStyle w:val="pf0"/>
        <w:spacing w:before="0" w:beforeAutospacing="0" w:after="0" w:afterAutospacing="0" w:line="240" w:lineRule="atLeast"/>
        <w:jc w:val="both"/>
        <w:rPr>
          <w:rFonts w:ascii="Arial" w:hAnsi="Arial"/>
          <w:sz w:val="20"/>
          <w:szCs w:val="20"/>
          <w:lang w:eastAsia="en-US"/>
        </w:rPr>
      </w:pPr>
      <w:r w:rsidRPr="004C3D49">
        <w:rPr>
          <w:rFonts w:ascii="Arial" w:hAnsi="Arial"/>
          <w:sz w:val="20"/>
          <w:szCs w:val="20"/>
          <w:lang w:eastAsia="en-US"/>
        </w:rPr>
        <w:t>Na podlagi predloga zakona lahko pričakujemo večjo pravno varnost podjetij – ponudnikov storitev posredovanja podatkov v smislu spoštovanja zakonodaje in višjo raven zaščite uporabnikov posredniških storitev.</w:t>
      </w:r>
    </w:p>
    <w:p w14:paraId="43632A9D" w14:textId="77777777" w:rsidR="004C3D49" w:rsidRPr="004C3D49" w:rsidRDefault="004C3D49" w:rsidP="004C3D49">
      <w:pPr>
        <w:pStyle w:val="pf0"/>
        <w:spacing w:line="240" w:lineRule="atLeast"/>
        <w:jc w:val="both"/>
        <w:rPr>
          <w:rFonts w:ascii="Arial" w:hAnsi="Arial"/>
          <w:sz w:val="20"/>
          <w:szCs w:val="20"/>
          <w:lang w:eastAsia="en-US"/>
        </w:rPr>
      </w:pPr>
      <w:r w:rsidRPr="004C3D49">
        <w:rPr>
          <w:rFonts w:ascii="Arial" w:hAnsi="Arial"/>
          <w:sz w:val="20"/>
          <w:szCs w:val="20"/>
          <w:lang w:eastAsia="en-US"/>
        </w:rPr>
        <w:t>Poleg tega se bo vzpostavilo zaupanje med posamezniki in podjetji glede dostopa do podatkov, nadzora nad njimi, njihove souporabe, uporabe in ponovne uporabe. To bo tudi omogočilo dodatne naložbe v nove storitve in podatkovne produkte, saj bo olajšan dostop do podatkov in bo na takšen način omogočene nove zaposlitve.</w:t>
      </w:r>
    </w:p>
    <w:p w14:paraId="2ADD4452" w14:textId="77777777" w:rsidR="00D36E88" w:rsidRDefault="004C3D49" w:rsidP="00F1578F">
      <w:pPr>
        <w:pStyle w:val="pf0"/>
        <w:spacing w:after="0" w:afterAutospacing="0" w:line="240" w:lineRule="atLeast"/>
        <w:jc w:val="both"/>
        <w:rPr>
          <w:rFonts w:ascii="Arial" w:hAnsi="Arial"/>
          <w:sz w:val="20"/>
          <w:szCs w:val="20"/>
          <w:lang w:eastAsia="en-US"/>
        </w:rPr>
      </w:pPr>
      <w:r w:rsidRPr="004C3D49">
        <w:rPr>
          <w:rFonts w:ascii="Arial" w:hAnsi="Arial"/>
          <w:sz w:val="20"/>
          <w:szCs w:val="20"/>
          <w:lang w:eastAsia="en-US"/>
        </w:rPr>
        <w:t>V 6. členu Uredbe 2022/868/EU je tudi predvideno, da kadar organi javnega sektorja zaračunajo pristojbine, sprejmejo ukrepe, s katerimi v skladu s pravili o državni pomoči spodbujajo ponovno uporabo zaščitenih kategorij podatkov javnega sektorja v neposlovne namene, na primer za znanstvene raziskave, ter s strani MSP in zagonskih podjetij. V zvezi s tem lahko organi javnega sektorja podatke dajo na voljo tudi po znižani pristojbini ali brezplačno, zlasti MSP-jem, civilni družbi in izobraževalnim ustanovam.</w:t>
      </w:r>
    </w:p>
    <w:p w14:paraId="39660C9A" w14:textId="77777777" w:rsidR="000F533D" w:rsidRDefault="000F533D" w:rsidP="000F533D">
      <w:pPr>
        <w:spacing w:line="240" w:lineRule="atLeast"/>
        <w:jc w:val="both"/>
        <w:rPr>
          <w:b/>
          <w:szCs w:val="20"/>
          <w:lang w:val="sl-SI"/>
        </w:rPr>
      </w:pPr>
    </w:p>
    <w:p w14:paraId="33FDD0AC" w14:textId="77777777" w:rsidR="00F1578F" w:rsidRPr="000F533D" w:rsidRDefault="00F1578F" w:rsidP="000F533D">
      <w:pPr>
        <w:spacing w:line="240" w:lineRule="atLeast"/>
        <w:jc w:val="both"/>
        <w:rPr>
          <w:b/>
          <w:szCs w:val="20"/>
          <w:lang w:val="sl-SI"/>
        </w:rPr>
      </w:pPr>
    </w:p>
    <w:p w14:paraId="15C35673" w14:textId="15C75B50" w:rsidR="00AF5D29" w:rsidRPr="00B32646" w:rsidRDefault="00AF5D29" w:rsidP="00D36E88">
      <w:pPr>
        <w:spacing w:line="240" w:lineRule="atLeast"/>
        <w:jc w:val="both"/>
        <w:rPr>
          <w:b/>
          <w:szCs w:val="20"/>
          <w:lang w:val="sl-SI"/>
        </w:rPr>
      </w:pPr>
      <w:r w:rsidRPr="009564C3">
        <w:rPr>
          <w:b/>
          <w:szCs w:val="20"/>
          <w:lang w:val="sl-SI"/>
        </w:rPr>
        <w:t xml:space="preserve">6.4 Presoja posledic </w:t>
      </w:r>
      <w:r w:rsidR="00C337A6">
        <w:rPr>
          <w:b/>
          <w:szCs w:val="20"/>
          <w:lang w:val="sl-SI"/>
        </w:rPr>
        <w:t>z</w:t>
      </w:r>
      <w:r w:rsidRPr="009564C3">
        <w:rPr>
          <w:b/>
          <w:szCs w:val="20"/>
          <w:lang w:val="sl-SI"/>
        </w:rPr>
        <w:t>a socialn</w:t>
      </w:r>
      <w:r w:rsidR="00C337A6">
        <w:rPr>
          <w:b/>
          <w:szCs w:val="20"/>
          <w:lang w:val="sl-SI"/>
        </w:rPr>
        <w:t>o</w:t>
      </w:r>
      <w:r w:rsidRPr="009564C3">
        <w:rPr>
          <w:b/>
          <w:szCs w:val="20"/>
          <w:lang w:val="sl-SI"/>
        </w:rPr>
        <w:t xml:space="preserve"> področj</w:t>
      </w:r>
      <w:r w:rsidR="00C337A6">
        <w:rPr>
          <w:b/>
          <w:szCs w:val="20"/>
          <w:lang w:val="sl-SI"/>
        </w:rPr>
        <w:t>e</w:t>
      </w:r>
    </w:p>
    <w:p w14:paraId="01D8307B" w14:textId="77777777" w:rsidR="00AF5D29" w:rsidRPr="009564C3" w:rsidRDefault="00AF5D29" w:rsidP="00694DC1">
      <w:pPr>
        <w:spacing w:line="240" w:lineRule="atLeast"/>
        <w:jc w:val="both"/>
        <w:rPr>
          <w:szCs w:val="20"/>
          <w:lang w:val="sl-SI"/>
        </w:rPr>
      </w:pPr>
      <w:r w:rsidRPr="00503450">
        <w:rPr>
          <w:szCs w:val="20"/>
          <w:lang w:val="sl-SI"/>
        </w:rPr>
        <w:t>Predlog zakona nima posledic na socialnem področju.</w:t>
      </w:r>
    </w:p>
    <w:p w14:paraId="5DC882B9" w14:textId="77777777" w:rsidR="00AF5D29" w:rsidRPr="009564C3" w:rsidRDefault="00AF5D29" w:rsidP="00694DC1">
      <w:pPr>
        <w:spacing w:line="240" w:lineRule="atLeast"/>
        <w:jc w:val="both"/>
        <w:rPr>
          <w:b/>
          <w:szCs w:val="20"/>
          <w:lang w:val="sl-SI"/>
        </w:rPr>
      </w:pPr>
    </w:p>
    <w:p w14:paraId="704BDB35" w14:textId="77777777" w:rsidR="00AF5D29" w:rsidRPr="009564C3" w:rsidRDefault="00AF5D29" w:rsidP="00694DC1">
      <w:pPr>
        <w:spacing w:line="240" w:lineRule="atLeast"/>
        <w:jc w:val="both"/>
        <w:rPr>
          <w:szCs w:val="20"/>
          <w:lang w:val="sl-SI"/>
        </w:rPr>
      </w:pPr>
    </w:p>
    <w:p w14:paraId="1D1D0D15" w14:textId="4AA3FAA8" w:rsidR="00AF5D29" w:rsidRPr="009564C3" w:rsidRDefault="00AF5D29" w:rsidP="00694DC1">
      <w:pPr>
        <w:spacing w:line="240" w:lineRule="atLeast"/>
        <w:jc w:val="both"/>
        <w:rPr>
          <w:szCs w:val="20"/>
          <w:lang w:val="sl-SI"/>
        </w:rPr>
      </w:pPr>
      <w:r w:rsidRPr="009564C3">
        <w:rPr>
          <w:b/>
          <w:szCs w:val="20"/>
          <w:lang w:val="sl-SI"/>
        </w:rPr>
        <w:t xml:space="preserve">6.5 Presoja posledic </w:t>
      </w:r>
      <w:r w:rsidR="00C337A6">
        <w:rPr>
          <w:b/>
          <w:szCs w:val="20"/>
          <w:lang w:val="sl-SI"/>
        </w:rPr>
        <w:t>z</w:t>
      </w:r>
      <w:r w:rsidRPr="009564C3">
        <w:rPr>
          <w:b/>
          <w:szCs w:val="20"/>
          <w:lang w:val="sl-SI"/>
        </w:rPr>
        <w:t>a dokumente razvojnega načrtovanja</w:t>
      </w:r>
    </w:p>
    <w:p w14:paraId="7E8B8F54" w14:textId="77777777" w:rsidR="00AF5D29" w:rsidRPr="009564C3" w:rsidRDefault="00AF5D29" w:rsidP="00694DC1">
      <w:pPr>
        <w:spacing w:line="240" w:lineRule="atLeast"/>
        <w:jc w:val="both"/>
        <w:rPr>
          <w:szCs w:val="20"/>
          <w:lang w:val="sl-SI"/>
        </w:rPr>
      </w:pPr>
      <w:r w:rsidRPr="009D5BC5">
        <w:rPr>
          <w:szCs w:val="20"/>
          <w:lang w:val="sl-SI"/>
        </w:rPr>
        <w:t>Predlog zakona nima posledic za dokumente razvojnega načrtovanja.</w:t>
      </w:r>
    </w:p>
    <w:p w14:paraId="4B068C44" w14:textId="77777777" w:rsidR="00AF5D29" w:rsidRPr="009564C3" w:rsidRDefault="00AF5D29" w:rsidP="00694DC1">
      <w:pPr>
        <w:spacing w:line="240" w:lineRule="atLeast"/>
        <w:jc w:val="both"/>
        <w:rPr>
          <w:szCs w:val="20"/>
          <w:lang w:val="sl-SI"/>
        </w:rPr>
      </w:pPr>
    </w:p>
    <w:p w14:paraId="553FE531" w14:textId="77777777" w:rsidR="00AF5D29" w:rsidRPr="009564C3" w:rsidRDefault="00AF5D29" w:rsidP="00694DC1">
      <w:pPr>
        <w:spacing w:line="240" w:lineRule="atLeast"/>
        <w:jc w:val="both"/>
        <w:rPr>
          <w:szCs w:val="20"/>
          <w:lang w:val="sl-SI"/>
        </w:rPr>
      </w:pPr>
    </w:p>
    <w:p w14:paraId="69F6BCFA" w14:textId="4E788612" w:rsidR="00AF5D29" w:rsidRPr="009564C3" w:rsidRDefault="00AF5D29" w:rsidP="00694DC1">
      <w:pPr>
        <w:spacing w:line="240" w:lineRule="atLeast"/>
        <w:jc w:val="both"/>
        <w:rPr>
          <w:b/>
          <w:szCs w:val="20"/>
          <w:lang w:val="sl-SI"/>
        </w:rPr>
      </w:pPr>
      <w:r w:rsidRPr="009564C3">
        <w:rPr>
          <w:b/>
          <w:szCs w:val="20"/>
          <w:lang w:val="sl-SI"/>
        </w:rPr>
        <w:t xml:space="preserve">6.6 Presoja posledic </w:t>
      </w:r>
      <w:r w:rsidR="00C337A6">
        <w:rPr>
          <w:b/>
          <w:szCs w:val="20"/>
          <w:lang w:val="sl-SI"/>
        </w:rPr>
        <w:t>z</w:t>
      </w:r>
      <w:r w:rsidRPr="009564C3">
        <w:rPr>
          <w:b/>
          <w:szCs w:val="20"/>
          <w:lang w:val="sl-SI"/>
        </w:rPr>
        <w:t>a druga področja</w:t>
      </w:r>
    </w:p>
    <w:p w14:paraId="39BCB0AA" w14:textId="77777777" w:rsidR="00AF5D29" w:rsidRPr="009564C3" w:rsidRDefault="00AF5D29" w:rsidP="00694DC1">
      <w:pPr>
        <w:spacing w:line="240" w:lineRule="atLeast"/>
        <w:jc w:val="both"/>
        <w:rPr>
          <w:b/>
          <w:szCs w:val="20"/>
          <w:lang w:val="sl-SI"/>
        </w:rPr>
      </w:pPr>
      <w:r w:rsidRPr="00B32646">
        <w:rPr>
          <w:szCs w:val="20"/>
          <w:lang w:val="sl-SI"/>
        </w:rPr>
        <w:t>Predlog zakona nima posledic za druga področja.</w:t>
      </w:r>
    </w:p>
    <w:p w14:paraId="16D24E8A" w14:textId="1A5FE3F6" w:rsidR="00AF5D29" w:rsidRDefault="00AF5D29" w:rsidP="00694DC1">
      <w:pPr>
        <w:spacing w:line="240" w:lineRule="atLeast"/>
        <w:jc w:val="both"/>
        <w:rPr>
          <w:b/>
          <w:szCs w:val="20"/>
          <w:lang w:val="sl-SI"/>
        </w:rPr>
      </w:pPr>
    </w:p>
    <w:p w14:paraId="2DB3E229" w14:textId="77777777" w:rsidR="003D52E6" w:rsidRDefault="003D52E6" w:rsidP="00694DC1">
      <w:pPr>
        <w:spacing w:line="240" w:lineRule="atLeast"/>
        <w:jc w:val="both"/>
        <w:rPr>
          <w:b/>
          <w:szCs w:val="20"/>
          <w:lang w:val="sl-SI"/>
        </w:rPr>
      </w:pPr>
    </w:p>
    <w:p w14:paraId="6BB91F5E" w14:textId="50642A34" w:rsidR="009D5BC5" w:rsidRDefault="009D5BC5" w:rsidP="00694DC1">
      <w:pPr>
        <w:spacing w:line="240" w:lineRule="atLeast"/>
        <w:jc w:val="both"/>
        <w:rPr>
          <w:b/>
          <w:szCs w:val="20"/>
          <w:lang w:val="sl-SI"/>
        </w:rPr>
      </w:pPr>
      <w:r>
        <w:rPr>
          <w:b/>
          <w:szCs w:val="20"/>
          <w:lang w:val="sl-SI"/>
        </w:rPr>
        <w:t>6.7 Izvajanje sprejetega predpisa</w:t>
      </w:r>
    </w:p>
    <w:p w14:paraId="6E4E4A4B" w14:textId="2F7A2A20" w:rsidR="009D5BC5" w:rsidRDefault="003D52E6" w:rsidP="00694DC1">
      <w:pPr>
        <w:spacing w:line="240" w:lineRule="atLeast"/>
        <w:jc w:val="both"/>
        <w:rPr>
          <w:bCs/>
          <w:szCs w:val="20"/>
          <w:lang w:val="sl-SI"/>
        </w:rPr>
      </w:pPr>
      <w:r w:rsidRPr="003D52E6">
        <w:rPr>
          <w:bCs/>
          <w:szCs w:val="20"/>
          <w:lang w:val="sl-SI"/>
        </w:rPr>
        <w:t>a) Predstavitev sprejetega zakona</w:t>
      </w:r>
    </w:p>
    <w:p w14:paraId="7CAED242" w14:textId="3F8CFA1D" w:rsidR="003D52E6" w:rsidRDefault="00670F45" w:rsidP="00694DC1">
      <w:pPr>
        <w:spacing w:line="240" w:lineRule="atLeast"/>
        <w:jc w:val="both"/>
        <w:rPr>
          <w:bCs/>
          <w:szCs w:val="20"/>
          <w:lang w:val="sl-SI"/>
        </w:rPr>
      </w:pPr>
      <w:r>
        <w:rPr>
          <w:bCs/>
          <w:szCs w:val="20"/>
          <w:lang w:val="sl-SI"/>
        </w:rPr>
        <w:t xml:space="preserve">Ministrstvo za digitalno preobrazbo bo </w:t>
      </w:r>
      <w:r w:rsidR="00C321FE">
        <w:rPr>
          <w:bCs/>
          <w:szCs w:val="20"/>
          <w:lang w:val="sl-SI"/>
        </w:rPr>
        <w:t>povezavo na</w:t>
      </w:r>
      <w:r>
        <w:rPr>
          <w:bCs/>
          <w:szCs w:val="20"/>
          <w:lang w:val="sl-SI"/>
        </w:rPr>
        <w:t xml:space="preserve"> sprejet zakon</w:t>
      </w:r>
      <w:r w:rsidR="00C321FE">
        <w:rPr>
          <w:bCs/>
          <w:szCs w:val="20"/>
          <w:lang w:val="sl-SI"/>
        </w:rPr>
        <w:t xml:space="preserve"> objavilo na svojih spletnih straneh.</w:t>
      </w:r>
    </w:p>
    <w:p w14:paraId="59965C3B" w14:textId="77777777" w:rsidR="00670F45" w:rsidRDefault="00670F45" w:rsidP="00694DC1">
      <w:pPr>
        <w:spacing w:line="240" w:lineRule="atLeast"/>
        <w:jc w:val="both"/>
        <w:rPr>
          <w:bCs/>
          <w:szCs w:val="20"/>
          <w:lang w:val="sl-SI"/>
        </w:rPr>
      </w:pPr>
    </w:p>
    <w:p w14:paraId="78FD1552" w14:textId="48D97626" w:rsidR="003D52E6" w:rsidRPr="003D52E6" w:rsidRDefault="003D52E6" w:rsidP="00694DC1">
      <w:pPr>
        <w:spacing w:line="240" w:lineRule="atLeast"/>
        <w:jc w:val="both"/>
        <w:rPr>
          <w:bCs/>
          <w:szCs w:val="20"/>
          <w:lang w:val="sl-SI"/>
        </w:rPr>
      </w:pPr>
      <w:r>
        <w:rPr>
          <w:bCs/>
          <w:szCs w:val="20"/>
          <w:lang w:val="sl-SI"/>
        </w:rPr>
        <w:t>b) Spremljanje izvajanja sprejetega predpisa</w:t>
      </w:r>
    </w:p>
    <w:p w14:paraId="39BA5A38" w14:textId="02797236" w:rsidR="00986E5F" w:rsidRDefault="00F20AB6" w:rsidP="00694DC1">
      <w:pPr>
        <w:spacing w:line="240" w:lineRule="atLeast"/>
        <w:jc w:val="both"/>
        <w:rPr>
          <w:bCs/>
          <w:szCs w:val="20"/>
          <w:lang w:val="sl-SI"/>
        </w:rPr>
      </w:pPr>
      <w:r w:rsidRPr="00F20AB6">
        <w:rPr>
          <w:bCs/>
          <w:szCs w:val="20"/>
          <w:lang w:val="sl-SI"/>
        </w:rPr>
        <w:t>Sprejeti zakon bodo izvajali Ministrstvo za digitalno preobrazbo, Ministrstvo za javno upravo, Inšpektorat RS za informacijsko družbo in Informacijski pooblaščenec, ki bodo tudi spremljali njegovo izvajanje.</w:t>
      </w:r>
    </w:p>
    <w:p w14:paraId="207B6641" w14:textId="77777777" w:rsidR="00E32624" w:rsidRDefault="00E32624" w:rsidP="00694DC1">
      <w:pPr>
        <w:spacing w:line="240" w:lineRule="atLeast"/>
        <w:jc w:val="both"/>
        <w:rPr>
          <w:bCs/>
          <w:szCs w:val="20"/>
          <w:lang w:val="sl-SI"/>
        </w:rPr>
      </w:pPr>
    </w:p>
    <w:p w14:paraId="58B8E942" w14:textId="7A818BBD" w:rsidR="00670F45" w:rsidRDefault="00E32624" w:rsidP="00694DC1">
      <w:pPr>
        <w:spacing w:line="240" w:lineRule="atLeast"/>
        <w:jc w:val="both"/>
        <w:rPr>
          <w:b/>
          <w:szCs w:val="20"/>
          <w:lang w:val="sl-SI"/>
        </w:rPr>
      </w:pPr>
      <w:r>
        <w:rPr>
          <w:bCs/>
          <w:szCs w:val="20"/>
          <w:lang w:val="sl-SI"/>
        </w:rPr>
        <w:t xml:space="preserve"> </w:t>
      </w:r>
    </w:p>
    <w:p w14:paraId="275F8FC5" w14:textId="36258700" w:rsidR="009D5BC5" w:rsidRDefault="009D5BC5" w:rsidP="00694DC1">
      <w:pPr>
        <w:spacing w:line="240" w:lineRule="atLeast"/>
        <w:jc w:val="both"/>
        <w:rPr>
          <w:b/>
          <w:szCs w:val="20"/>
          <w:lang w:val="sl-SI"/>
        </w:rPr>
      </w:pPr>
      <w:r>
        <w:rPr>
          <w:b/>
          <w:szCs w:val="20"/>
          <w:lang w:val="sl-SI"/>
        </w:rPr>
        <w:t>6.8 Druge pomembne okoliščine v zvezi z vprašanji, ki jih ureja predlog</w:t>
      </w:r>
    </w:p>
    <w:p w14:paraId="6D24477D" w14:textId="23D77648" w:rsidR="009D5BC5" w:rsidRPr="00F1578F" w:rsidRDefault="009D5BC5" w:rsidP="00694DC1">
      <w:pPr>
        <w:spacing w:line="240" w:lineRule="atLeast"/>
        <w:jc w:val="both"/>
        <w:rPr>
          <w:bCs/>
          <w:szCs w:val="20"/>
          <w:lang w:val="sl-SI"/>
        </w:rPr>
      </w:pPr>
      <w:r w:rsidRPr="00F1578F">
        <w:rPr>
          <w:bCs/>
          <w:szCs w:val="20"/>
          <w:lang w:val="sl-SI"/>
        </w:rPr>
        <w:t>/</w:t>
      </w:r>
    </w:p>
    <w:p w14:paraId="1D1BC360" w14:textId="77777777" w:rsidR="00AF5D29" w:rsidRDefault="00AF5D29" w:rsidP="00694DC1">
      <w:pPr>
        <w:spacing w:line="240" w:lineRule="atLeast"/>
        <w:jc w:val="both"/>
        <w:rPr>
          <w:b/>
          <w:szCs w:val="20"/>
          <w:lang w:val="sl-SI"/>
        </w:rPr>
      </w:pPr>
    </w:p>
    <w:p w14:paraId="18A592BB" w14:textId="77777777" w:rsidR="00F1578F" w:rsidRPr="009564C3" w:rsidRDefault="00F1578F" w:rsidP="00694DC1">
      <w:pPr>
        <w:spacing w:line="240" w:lineRule="atLeast"/>
        <w:jc w:val="both"/>
        <w:rPr>
          <w:b/>
          <w:szCs w:val="20"/>
          <w:lang w:val="sl-SI"/>
        </w:rPr>
      </w:pPr>
    </w:p>
    <w:p w14:paraId="4D22F90A" w14:textId="77777777" w:rsidR="00AF5D29" w:rsidRPr="009564C3" w:rsidRDefault="00AF5D29" w:rsidP="00694DC1">
      <w:pPr>
        <w:spacing w:line="240" w:lineRule="atLeast"/>
        <w:jc w:val="both"/>
        <w:rPr>
          <w:b/>
          <w:szCs w:val="20"/>
          <w:lang w:val="sl-SI"/>
        </w:rPr>
      </w:pPr>
      <w:r w:rsidRPr="009564C3">
        <w:rPr>
          <w:b/>
          <w:szCs w:val="20"/>
          <w:lang w:val="sl-SI"/>
        </w:rPr>
        <w:t>7. PRIKAZ SODELOVANJA JAVNOSTI PRI PRIPRAVI PREDLOGA ZAKONA</w:t>
      </w:r>
    </w:p>
    <w:p w14:paraId="51B8D331" w14:textId="77777777" w:rsidR="00AF5D29" w:rsidRPr="009564C3" w:rsidRDefault="00AF5D29" w:rsidP="00694DC1">
      <w:pPr>
        <w:spacing w:line="240" w:lineRule="atLeast"/>
        <w:jc w:val="both"/>
        <w:rPr>
          <w:szCs w:val="20"/>
          <w:lang w:val="sl-SI"/>
        </w:rPr>
      </w:pPr>
    </w:p>
    <w:p w14:paraId="6221CCE9" w14:textId="38B50448" w:rsidR="00631980" w:rsidRPr="00631980" w:rsidRDefault="00631980" w:rsidP="00631980">
      <w:pPr>
        <w:spacing w:line="240" w:lineRule="atLeast"/>
        <w:jc w:val="both"/>
        <w:rPr>
          <w:iCs/>
          <w:szCs w:val="20"/>
          <w:lang w:val="sl-SI"/>
        </w:rPr>
      </w:pPr>
      <w:r w:rsidRPr="00631980">
        <w:rPr>
          <w:iCs/>
          <w:szCs w:val="20"/>
          <w:lang w:val="sl-SI"/>
        </w:rPr>
        <w:t xml:space="preserve">Javna obravnava predloga zakona je trajala od 12. 3. 2024 do 11. 4. 2024. Novica o javni obravnavi je bila objavljena na spletni strani Ministrstva za digitalno preobrazbo: </w:t>
      </w:r>
      <w:hyperlink r:id="rId13" w:history="1">
        <w:r w:rsidRPr="00631980">
          <w:rPr>
            <w:color w:val="0000FF"/>
            <w:u w:val="single"/>
            <w:lang w:val="sl-SI"/>
          </w:rPr>
          <w:t>https://www.gov.si/novice/2024-03-13-javna-obravnava-predloga-zakona-o-izvajanju-uredbe-eu-o-evropskem-upravljanju-podatkov/</w:t>
        </w:r>
      </w:hyperlink>
      <w:r w:rsidRPr="00631980">
        <w:rPr>
          <w:iCs/>
          <w:szCs w:val="20"/>
          <w:lang w:val="sl-SI"/>
        </w:rPr>
        <w:t xml:space="preserve">, predlog zakona pa je bil objavljen na portalu eDemokracija: </w:t>
      </w:r>
      <w:hyperlink r:id="rId14" w:history="1">
        <w:r w:rsidRPr="00631980">
          <w:rPr>
            <w:color w:val="0000FF"/>
            <w:u w:val="single"/>
            <w:lang w:val="sl-SI"/>
          </w:rPr>
          <w:t>https://e-uprava.gov.si/si/drzava-in-druzba/e-demokracija/predlogi-predpisov/predlog-predpisa.html?id=16540</w:t>
        </w:r>
      </w:hyperlink>
      <w:r w:rsidRPr="00631980">
        <w:rPr>
          <w:iCs/>
          <w:szCs w:val="20"/>
          <w:lang w:val="sl-SI"/>
        </w:rPr>
        <w:t xml:space="preserve">. </w:t>
      </w:r>
    </w:p>
    <w:p w14:paraId="45BEEE6C" w14:textId="77777777" w:rsidR="00631980" w:rsidRPr="00631980" w:rsidRDefault="00631980" w:rsidP="00631980">
      <w:pPr>
        <w:spacing w:line="240" w:lineRule="atLeast"/>
        <w:jc w:val="both"/>
        <w:rPr>
          <w:iCs/>
          <w:szCs w:val="20"/>
          <w:lang w:val="sl-SI"/>
        </w:rPr>
      </w:pPr>
    </w:p>
    <w:p w14:paraId="48CD6EAA" w14:textId="77777777" w:rsidR="00631980" w:rsidRPr="00631980" w:rsidRDefault="00631980" w:rsidP="00631980">
      <w:pPr>
        <w:spacing w:line="240" w:lineRule="atLeast"/>
        <w:jc w:val="both"/>
        <w:rPr>
          <w:iCs/>
          <w:szCs w:val="20"/>
          <w:lang w:val="sl-SI"/>
        </w:rPr>
      </w:pPr>
      <w:r w:rsidRPr="00631980">
        <w:rPr>
          <w:iCs/>
          <w:szCs w:val="20"/>
          <w:lang w:val="sl-SI"/>
        </w:rPr>
        <w:t xml:space="preserve">Zainteresirana javnost je lahko predloge, pripombe in mnenja oddala neposredno na portalu eDemokracija ali poslala na elektronski naslov </w:t>
      </w:r>
      <w:hyperlink r:id="rId15" w:history="1">
        <w:r w:rsidRPr="00631980">
          <w:rPr>
            <w:iCs/>
            <w:color w:val="0000FF"/>
            <w:szCs w:val="20"/>
            <w:u w:val="single"/>
            <w:lang w:val="sl-SI"/>
          </w:rPr>
          <w:t>gp.mdp@gov.si</w:t>
        </w:r>
      </w:hyperlink>
      <w:r w:rsidRPr="00631980">
        <w:rPr>
          <w:iCs/>
          <w:szCs w:val="20"/>
          <w:lang w:val="sl-SI"/>
        </w:rPr>
        <w:t>.</w:t>
      </w:r>
    </w:p>
    <w:p w14:paraId="0C1B49E6" w14:textId="77777777" w:rsidR="00631980" w:rsidRPr="00631980" w:rsidRDefault="00631980" w:rsidP="00631980">
      <w:pPr>
        <w:spacing w:line="240" w:lineRule="atLeast"/>
        <w:jc w:val="both"/>
        <w:rPr>
          <w:iCs/>
          <w:szCs w:val="20"/>
          <w:lang w:val="sl-SI"/>
        </w:rPr>
      </w:pPr>
    </w:p>
    <w:p w14:paraId="0DEEC3BD" w14:textId="77777777" w:rsidR="00631980" w:rsidRPr="00631980" w:rsidRDefault="00631980" w:rsidP="00631980">
      <w:pPr>
        <w:suppressAutoHyphens/>
        <w:overflowPunct w:val="0"/>
        <w:autoSpaceDE w:val="0"/>
        <w:autoSpaceDN w:val="0"/>
        <w:adjustRightInd w:val="0"/>
        <w:spacing w:line="260" w:lineRule="exact"/>
        <w:jc w:val="both"/>
        <w:textAlignment w:val="baseline"/>
        <w:outlineLvl w:val="3"/>
        <w:rPr>
          <w:iCs/>
          <w:szCs w:val="20"/>
          <w:lang w:val="sl-SI"/>
        </w:rPr>
      </w:pPr>
      <w:r w:rsidRPr="00631980">
        <w:rPr>
          <w:iCs/>
          <w:szCs w:val="20"/>
          <w:lang w:val="sl-SI"/>
        </w:rPr>
        <w:t xml:space="preserve">V javni obravnavi je pripombe na predlog zakona predložil le Informacijski pooblaščenec. Skupnost občin Slovenije ni imela pripomb. </w:t>
      </w:r>
    </w:p>
    <w:p w14:paraId="1BD7F291" w14:textId="77777777" w:rsidR="00631980" w:rsidRPr="00631980" w:rsidRDefault="00631980" w:rsidP="00631980">
      <w:pPr>
        <w:suppressAutoHyphens/>
        <w:overflowPunct w:val="0"/>
        <w:autoSpaceDE w:val="0"/>
        <w:autoSpaceDN w:val="0"/>
        <w:adjustRightInd w:val="0"/>
        <w:spacing w:line="260" w:lineRule="exact"/>
        <w:jc w:val="both"/>
        <w:textAlignment w:val="baseline"/>
        <w:outlineLvl w:val="3"/>
        <w:rPr>
          <w:iCs/>
          <w:szCs w:val="20"/>
          <w:lang w:val="sl-SI"/>
        </w:rPr>
      </w:pPr>
    </w:p>
    <w:p w14:paraId="46817466" w14:textId="77777777" w:rsidR="00631980" w:rsidRPr="00631980" w:rsidRDefault="00631980" w:rsidP="00631980">
      <w:pPr>
        <w:suppressAutoHyphens/>
        <w:overflowPunct w:val="0"/>
        <w:autoSpaceDE w:val="0"/>
        <w:autoSpaceDN w:val="0"/>
        <w:adjustRightInd w:val="0"/>
        <w:spacing w:line="260" w:lineRule="exact"/>
        <w:jc w:val="both"/>
        <w:textAlignment w:val="baseline"/>
        <w:outlineLvl w:val="3"/>
        <w:rPr>
          <w:iCs/>
          <w:szCs w:val="20"/>
          <w:lang w:val="sl-SI"/>
        </w:rPr>
      </w:pPr>
      <w:r w:rsidRPr="00631980">
        <w:rPr>
          <w:iCs/>
          <w:szCs w:val="20"/>
          <w:lang w:val="sl-SI"/>
        </w:rPr>
        <w:t>Informacijski pooblaščenec (v nadaljnjem besedilu: IP) v svojih pripombah opozarja, da predlog zakona širi obseg in vsebine pristojnosti, kot jih že ima po Zakonu o Informacijskem pooblaščencu in povezani zakonodaji, saj predlaga IP kot pritožbeni organ, kar bo pomembno prispevalo tudi k finančnim posledicam za IP (in potrebnim kadrovskim okrepitvam). IP opozarja, da je potrebno glede na specifike postopka pred IP nasloviti nujna odstopanja od ureditve po zakonu, ki ureja splošni upravni postopek. Mnenje IP je bilo upoštevano bodisi s spremembami oziroma dopolnitvami zakonskega besedila bodisi z vidika večje jasnosti z ustreznimi dopolnitvami obrazložitev določb tega zakona (določbe glede pravnega sredstva, izključitve stranske udeležbe, pregleda spisa v zadevah ponovne uporabe zaščitenih podatkov javnega sektorja in procesnih dejanj v zadevah ponovne uporabe zaščitenih podatkov javnega sektorja). Prav tako so bile v oceni finančnih posledic predvidene dodatne zaposlitve za IP.</w:t>
      </w:r>
    </w:p>
    <w:p w14:paraId="54941AF4" w14:textId="6F5B5115" w:rsidR="000E14EB" w:rsidRDefault="000E14EB" w:rsidP="00631980">
      <w:pPr>
        <w:spacing w:line="240" w:lineRule="atLeast"/>
        <w:jc w:val="both"/>
        <w:rPr>
          <w:lang w:val="sl-SI"/>
        </w:rPr>
      </w:pPr>
    </w:p>
    <w:p w14:paraId="5C519720" w14:textId="504DC57E" w:rsidR="000E14EB" w:rsidRDefault="000E14EB" w:rsidP="00694DC1">
      <w:pPr>
        <w:spacing w:line="240" w:lineRule="atLeast"/>
        <w:jc w:val="both"/>
        <w:rPr>
          <w:lang w:val="sl-SI"/>
        </w:rPr>
      </w:pPr>
      <w:r>
        <w:rPr>
          <w:lang w:val="sl-SI"/>
        </w:rPr>
        <w:t xml:space="preserve"> </w:t>
      </w:r>
    </w:p>
    <w:p w14:paraId="28E92675" w14:textId="0A7FD85D" w:rsidR="00C337A6" w:rsidRDefault="00C337A6" w:rsidP="00C337A6">
      <w:pPr>
        <w:pStyle w:val="Odsek"/>
        <w:spacing w:before="0" w:after="0" w:line="260" w:lineRule="exact"/>
        <w:jc w:val="both"/>
        <w:rPr>
          <w:sz w:val="20"/>
          <w:szCs w:val="20"/>
        </w:rPr>
      </w:pPr>
      <w:r w:rsidRPr="003F1703">
        <w:rPr>
          <w:sz w:val="20"/>
          <w:szCs w:val="20"/>
        </w:rPr>
        <w:t xml:space="preserve">8. </w:t>
      </w:r>
      <w:r>
        <w:rPr>
          <w:sz w:val="20"/>
          <w:szCs w:val="20"/>
        </w:rPr>
        <w:t>PODATEK O ZUNANJEM STROKOVNJAKU OZIROMA PRAVNI OSEBI, KI JE SODELOVALA PRI PRIPRAVI PREDLOGA ZAKONA, IN ZNESKU PLAČILA ZA TA NAMEN</w:t>
      </w:r>
    </w:p>
    <w:p w14:paraId="44206261" w14:textId="77777777" w:rsidR="00C337A6" w:rsidRDefault="00C337A6" w:rsidP="00694DC1">
      <w:pPr>
        <w:spacing w:line="240" w:lineRule="atLeast"/>
        <w:rPr>
          <w:rFonts w:cs="Arial"/>
          <w:b/>
          <w:szCs w:val="20"/>
          <w:lang w:val="sl-SI"/>
        </w:rPr>
      </w:pPr>
    </w:p>
    <w:p w14:paraId="674D51E1" w14:textId="77777777" w:rsidR="00F1578F" w:rsidRPr="007B5A59" w:rsidRDefault="00F1578F" w:rsidP="00F1578F">
      <w:pPr>
        <w:pStyle w:val="Odsek"/>
        <w:spacing w:before="0" w:after="0" w:line="260" w:lineRule="exact"/>
        <w:jc w:val="both"/>
        <w:rPr>
          <w:b w:val="0"/>
          <w:bCs/>
          <w:sz w:val="20"/>
          <w:szCs w:val="20"/>
        </w:rPr>
      </w:pPr>
      <w:r w:rsidRPr="007B5A59">
        <w:rPr>
          <w:b w:val="0"/>
          <w:bCs/>
          <w:sz w:val="20"/>
          <w:szCs w:val="20"/>
        </w:rPr>
        <w:t>Zunanji strokovnjaki oziroma pravne osebe pri pripravi predloga zakona niso sodelovali.</w:t>
      </w:r>
    </w:p>
    <w:p w14:paraId="2A0D9D03" w14:textId="77777777" w:rsidR="00F1578F" w:rsidRDefault="00F1578F" w:rsidP="00694DC1">
      <w:pPr>
        <w:spacing w:line="240" w:lineRule="atLeast"/>
        <w:rPr>
          <w:rFonts w:cs="Arial"/>
          <w:b/>
          <w:szCs w:val="20"/>
          <w:lang w:val="sl-SI"/>
        </w:rPr>
      </w:pPr>
    </w:p>
    <w:p w14:paraId="0622F4F8" w14:textId="77777777" w:rsidR="00C337A6" w:rsidRDefault="00C337A6" w:rsidP="00694DC1">
      <w:pPr>
        <w:spacing w:line="240" w:lineRule="atLeast"/>
        <w:rPr>
          <w:rFonts w:cs="Arial"/>
          <w:b/>
          <w:szCs w:val="20"/>
          <w:lang w:val="sl-SI"/>
        </w:rPr>
      </w:pPr>
    </w:p>
    <w:p w14:paraId="061C926F" w14:textId="02AFA92D" w:rsidR="00C337A6" w:rsidRPr="003F1703" w:rsidRDefault="00C337A6" w:rsidP="00C337A6">
      <w:pPr>
        <w:pStyle w:val="Odsek"/>
        <w:spacing w:before="0" w:after="0" w:line="260" w:lineRule="exact"/>
        <w:jc w:val="both"/>
        <w:rPr>
          <w:sz w:val="20"/>
          <w:szCs w:val="20"/>
        </w:rPr>
      </w:pPr>
      <w:r>
        <w:rPr>
          <w:sz w:val="20"/>
          <w:szCs w:val="20"/>
        </w:rPr>
        <w:t>9</w:t>
      </w:r>
      <w:r w:rsidRPr="003F1703">
        <w:rPr>
          <w:sz w:val="20"/>
          <w:szCs w:val="20"/>
        </w:rPr>
        <w:t>. NAVEDBA, KATERI PREDSTAVNIKI PREDLAGATELJA BODO SODELOVALI PRI DELU DRŽAVNEGA ZBORA IN DELOVNIH TELES</w:t>
      </w:r>
    </w:p>
    <w:p w14:paraId="0E4253A1" w14:textId="77777777" w:rsidR="00F1578F" w:rsidRPr="00023263" w:rsidRDefault="00F1578F" w:rsidP="00F1578F">
      <w:pPr>
        <w:pStyle w:val="Odsek"/>
        <w:numPr>
          <w:ilvl w:val="0"/>
          <w:numId w:val="22"/>
        </w:numPr>
        <w:spacing w:before="60" w:after="0"/>
        <w:ind w:left="1151" w:hanging="357"/>
        <w:jc w:val="both"/>
        <w:rPr>
          <w:b w:val="0"/>
          <w:bCs/>
          <w:sz w:val="20"/>
          <w:szCs w:val="20"/>
        </w:rPr>
      </w:pPr>
      <w:r w:rsidRPr="00023263">
        <w:rPr>
          <w:b w:val="0"/>
          <w:bCs/>
          <w:sz w:val="20"/>
          <w:szCs w:val="20"/>
        </w:rPr>
        <w:t>dr. Emilija Stojmenova Duh, ministrica za digitalno preobrazbo,</w:t>
      </w:r>
      <w:r>
        <w:rPr>
          <w:b w:val="0"/>
          <w:bCs/>
          <w:sz w:val="20"/>
          <w:szCs w:val="20"/>
        </w:rPr>
        <w:t xml:space="preserve"> </w:t>
      </w:r>
      <w:r w:rsidRPr="00023263">
        <w:rPr>
          <w:b w:val="0"/>
          <w:bCs/>
          <w:sz w:val="20"/>
          <w:szCs w:val="20"/>
        </w:rPr>
        <w:t>Ministrstvo za digitalno preobrazbo Republike Slovenije,</w:t>
      </w:r>
    </w:p>
    <w:p w14:paraId="218EF918" w14:textId="77777777" w:rsidR="00F1578F" w:rsidRPr="00023263" w:rsidRDefault="00F1578F" w:rsidP="00F1578F">
      <w:pPr>
        <w:pStyle w:val="Odsek"/>
        <w:numPr>
          <w:ilvl w:val="0"/>
          <w:numId w:val="22"/>
        </w:numPr>
        <w:spacing w:before="60" w:after="0"/>
        <w:ind w:left="1151" w:hanging="357"/>
        <w:jc w:val="both"/>
        <w:rPr>
          <w:b w:val="0"/>
          <w:bCs/>
          <w:sz w:val="20"/>
          <w:szCs w:val="20"/>
        </w:rPr>
      </w:pPr>
      <w:r w:rsidRPr="00023263">
        <w:rPr>
          <w:b w:val="0"/>
          <w:bCs/>
          <w:sz w:val="20"/>
          <w:szCs w:val="20"/>
        </w:rPr>
        <w:t>dr. Aida Kamišalić Latifić, državna sekretarka, Ministrstvo za digitalno preobrazbo Republike Slovenije,</w:t>
      </w:r>
    </w:p>
    <w:p w14:paraId="04F6CAA4" w14:textId="77777777" w:rsidR="00F1578F" w:rsidRPr="00023263" w:rsidRDefault="00F1578F" w:rsidP="00F1578F">
      <w:pPr>
        <w:pStyle w:val="Odsek"/>
        <w:numPr>
          <w:ilvl w:val="0"/>
          <w:numId w:val="22"/>
        </w:numPr>
        <w:spacing w:before="60" w:after="0"/>
        <w:ind w:left="1151" w:hanging="357"/>
        <w:jc w:val="both"/>
        <w:rPr>
          <w:b w:val="0"/>
          <w:bCs/>
          <w:sz w:val="20"/>
          <w:szCs w:val="20"/>
        </w:rPr>
      </w:pPr>
      <w:r w:rsidRPr="00023263">
        <w:rPr>
          <w:b w:val="0"/>
          <w:bCs/>
          <w:sz w:val="20"/>
          <w:szCs w:val="20"/>
        </w:rPr>
        <w:t>mag. Špela Kern, vršilka dolžnosti generalnega direktorja</w:t>
      </w:r>
      <w:r>
        <w:rPr>
          <w:b w:val="0"/>
          <w:bCs/>
          <w:sz w:val="20"/>
          <w:szCs w:val="20"/>
        </w:rPr>
        <w:t xml:space="preserve">, </w:t>
      </w:r>
      <w:r w:rsidRPr="00023263">
        <w:rPr>
          <w:b w:val="0"/>
          <w:bCs/>
          <w:sz w:val="20"/>
          <w:szCs w:val="20"/>
        </w:rPr>
        <w:t xml:space="preserve">Ministrstvo za digitalno preobrazbo Republike Slovenije, </w:t>
      </w:r>
    </w:p>
    <w:p w14:paraId="0AC89C8B" w14:textId="77777777" w:rsidR="00F1578F" w:rsidRPr="00023263" w:rsidRDefault="00F1578F" w:rsidP="00F1578F">
      <w:pPr>
        <w:pStyle w:val="Odsek"/>
        <w:numPr>
          <w:ilvl w:val="0"/>
          <w:numId w:val="22"/>
        </w:numPr>
        <w:spacing w:before="60" w:after="0"/>
        <w:ind w:left="1151" w:hanging="357"/>
        <w:jc w:val="both"/>
        <w:rPr>
          <w:b w:val="0"/>
          <w:bCs/>
          <w:sz w:val="20"/>
          <w:szCs w:val="20"/>
        </w:rPr>
      </w:pPr>
      <w:r w:rsidRPr="00023263">
        <w:rPr>
          <w:b w:val="0"/>
          <w:bCs/>
          <w:sz w:val="20"/>
          <w:szCs w:val="20"/>
        </w:rPr>
        <w:t>Tina Bizjak Ahačič, sekretarka,</w:t>
      </w:r>
      <w:r>
        <w:rPr>
          <w:b w:val="0"/>
          <w:bCs/>
          <w:sz w:val="20"/>
          <w:szCs w:val="20"/>
        </w:rPr>
        <w:t xml:space="preserve"> </w:t>
      </w:r>
      <w:r w:rsidRPr="00023263">
        <w:rPr>
          <w:b w:val="0"/>
          <w:bCs/>
          <w:sz w:val="20"/>
          <w:szCs w:val="20"/>
        </w:rPr>
        <w:t>Ministrstvo za digitalno preobrazbo Republike Slovenije,</w:t>
      </w:r>
    </w:p>
    <w:p w14:paraId="4D2A455B" w14:textId="77777777" w:rsidR="00F1578F" w:rsidRDefault="00F1578F" w:rsidP="00F1578F">
      <w:pPr>
        <w:pStyle w:val="Odsek"/>
        <w:numPr>
          <w:ilvl w:val="0"/>
          <w:numId w:val="22"/>
        </w:numPr>
        <w:spacing w:before="60" w:after="0"/>
        <w:ind w:left="1151" w:hanging="357"/>
        <w:jc w:val="both"/>
        <w:rPr>
          <w:b w:val="0"/>
          <w:bCs/>
          <w:sz w:val="20"/>
          <w:szCs w:val="20"/>
        </w:rPr>
      </w:pPr>
      <w:r w:rsidRPr="00023263">
        <w:rPr>
          <w:b w:val="0"/>
          <w:bCs/>
          <w:sz w:val="20"/>
          <w:szCs w:val="20"/>
        </w:rPr>
        <w:t>mag. Aleš Veršič, sekretar</w:t>
      </w:r>
      <w:r>
        <w:rPr>
          <w:b w:val="0"/>
          <w:bCs/>
          <w:sz w:val="20"/>
          <w:szCs w:val="20"/>
        </w:rPr>
        <w:t xml:space="preserve">, </w:t>
      </w:r>
      <w:r w:rsidRPr="00023263">
        <w:rPr>
          <w:b w:val="0"/>
          <w:bCs/>
          <w:sz w:val="20"/>
          <w:szCs w:val="20"/>
        </w:rPr>
        <w:t>Ministrstvo za digitalno preobrazbo Republike Slovenije</w:t>
      </w:r>
      <w:r>
        <w:rPr>
          <w:b w:val="0"/>
          <w:bCs/>
          <w:sz w:val="20"/>
          <w:szCs w:val="20"/>
        </w:rPr>
        <w:t>,</w:t>
      </w:r>
    </w:p>
    <w:p w14:paraId="3B23B007" w14:textId="3AA976D6" w:rsidR="007A7496" w:rsidRPr="00F1578F" w:rsidRDefault="00F1578F" w:rsidP="00924B42">
      <w:pPr>
        <w:pStyle w:val="Odsek"/>
        <w:numPr>
          <w:ilvl w:val="0"/>
          <w:numId w:val="22"/>
        </w:numPr>
        <w:spacing w:before="60" w:after="0" w:line="240" w:lineRule="atLeast"/>
        <w:ind w:left="1151" w:hanging="357"/>
        <w:jc w:val="both"/>
        <w:rPr>
          <w:szCs w:val="20"/>
        </w:rPr>
      </w:pPr>
      <w:r w:rsidRPr="00F1578F">
        <w:rPr>
          <w:b w:val="0"/>
          <w:bCs/>
          <w:sz w:val="20"/>
          <w:szCs w:val="20"/>
        </w:rPr>
        <w:t>Anja Ancelj, sekretarka, Ministrstvo za digitalno preobrazbo Republike Slovenije.</w:t>
      </w:r>
      <w:r w:rsidR="00C337A6" w:rsidRPr="00F1578F">
        <w:rPr>
          <w:szCs w:val="20"/>
        </w:rPr>
        <w:br w:type="page"/>
      </w:r>
    </w:p>
    <w:p w14:paraId="37AC5D07" w14:textId="296F0FF8" w:rsidR="000E14EB" w:rsidRDefault="000E14EB" w:rsidP="00694DC1">
      <w:pPr>
        <w:pStyle w:val="Naslov3"/>
        <w:spacing w:line="240" w:lineRule="atLeast"/>
      </w:pPr>
      <w:bookmarkStart w:id="1" w:name="_Hlk132194773"/>
      <w:bookmarkStart w:id="2" w:name="_Hlk136345684"/>
      <w:bookmarkStart w:id="3" w:name="_Hlk136350658"/>
      <w:r>
        <w:t>II. BESEDILO ČLENOV</w:t>
      </w:r>
    </w:p>
    <w:p w14:paraId="6D92070E" w14:textId="77777777" w:rsidR="00B53505" w:rsidRPr="00CC0BBA" w:rsidRDefault="00B53505" w:rsidP="00B53505">
      <w:pPr>
        <w:suppressAutoHyphens/>
        <w:overflowPunct w:val="0"/>
        <w:autoSpaceDE w:val="0"/>
        <w:autoSpaceDN w:val="0"/>
        <w:adjustRightInd w:val="0"/>
        <w:spacing w:line="240" w:lineRule="auto"/>
        <w:jc w:val="center"/>
        <w:textAlignment w:val="baseline"/>
        <w:rPr>
          <w:rFonts w:cs="Arial"/>
          <w:b/>
          <w:bCs/>
          <w:color w:val="000000"/>
          <w:spacing w:val="40"/>
          <w:szCs w:val="20"/>
          <w:lang w:val="sl-SI" w:eastAsia="sl-SI"/>
        </w:rPr>
      </w:pPr>
      <w:bookmarkStart w:id="4" w:name="_Hlk66266060"/>
      <w:bookmarkEnd w:id="1"/>
      <w:bookmarkEnd w:id="2"/>
      <w:bookmarkEnd w:id="3"/>
    </w:p>
    <w:p w14:paraId="3C75C422" w14:textId="77777777" w:rsidR="00B53505" w:rsidRPr="00CC0BBA" w:rsidRDefault="00B53505" w:rsidP="00B53505">
      <w:pPr>
        <w:suppressAutoHyphens/>
        <w:overflowPunct w:val="0"/>
        <w:autoSpaceDE w:val="0"/>
        <w:autoSpaceDN w:val="0"/>
        <w:adjustRightInd w:val="0"/>
        <w:spacing w:line="240" w:lineRule="auto"/>
        <w:jc w:val="center"/>
        <w:textAlignment w:val="baseline"/>
        <w:rPr>
          <w:rFonts w:cs="Arial"/>
          <w:b/>
          <w:bCs/>
          <w:color w:val="000000"/>
          <w:spacing w:val="40"/>
          <w:szCs w:val="20"/>
          <w:lang w:val="sl-SI" w:eastAsia="sl-SI"/>
        </w:rPr>
      </w:pPr>
    </w:p>
    <w:p w14:paraId="3D3D7F2D" w14:textId="77777777" w:rsidR="00B53505" w:rsidRPr="00CC0BBA" w:rsidRDefault="00B53505" w:rsidP="00B53505">
      <w:pPr>
        <w:suppressAutoHyphens/>
        <w:overflowPunct w:val="0"/>
        <w:autoSpaceDE w:val="0"/>
        <w:autoSpaceDN w:val="0"/>
        <w:adjustRightInd w:val="0"/>
        <w:spacing w:line="240" w:lineRule="auto"/>
        <w:jc w:val="center"/>
        <w:textAlignment w:val="baseline"/>
        <w:rPr>
          <w:rFonts w:cs="Arial"/>
          <w:b/>
          <w:bCs/>
          <w:color w:val="000000"/>
          <w:spacing w:val="40"/>
          <w:szCs w:val="20"/>
          <w:lang w:val="sl-SI" w:eastAsia="sl-SI"/>
        </w:rPr>
      </w:pPr>
    </w:p>
    <w:p w14:paraId="169D1450" w14:textId="77777777" w:rsidR="00B53505" w:rsidRPr="00CC0BBA" w:rsidRDefault="00B53505" w:rsidP="00B53505">
      <w:pPr>
        <w:suppressAutoHyphens/>
        <w:overflowPunct w:val="0"/>
        <w:autoSpaceDE w:val="0"/>
        <w:autoSpaceDN w:val="0"/>
        <w:adjustRightInd w:val="0"/>
        <w:spacing w:line="240" w:lineRule="auto"/>
        <w:jc w:val="center"/>
        <w:textAlignment w:val="baseline"/>
        <w:rPr>
          <w:rFonts w:cs="Arial"/>
          <w:b/>
          <w:bCs/>
          <w:color w:val="000000"/>
          <w:spacing w:val="40"/>
          <w:szCs w:val="20"/>
          <w:lang w:val="sl-SI" w:eastAsia="sl-SI"/>
        </w:rPr>
      </w:pPr>
    </w:p>
    <w:p w14:paraId="197B8013" w14:textId="7B44B9E9" w:rsidR="00B53505" w:rsidRPr="00B53505" w:rsidRDefault="00B53505" w:rsidP="00B53505">
      <w:pPr>
        <w:suppressAutoHyphens/>
        <w:overflowPunct w:val="0"/>
        <w:autoSpaceDE w:val="0"/>
        <w:autoSpaceDN w:val="0"/>
        <w:adjustRightInd w:val="0"/>
        <w:spacing w:line="240" w:lineRule="auto"/>
        <w:jc w:val="center"/>
        <w:textAlignment w:val="baseline"/>
        <w:rPr>
          <w:rFonts w:cs="Arial"/>
          <w:b/>
          <w:bCs/>
          <w:color w:val="000000"/>
          <w:spacing w:val="40"/>
          <w:szCs w:val="20"/>
          <w:lang w:val="sl-SI" w:eastAsia="sl-SI"/>
        </w:rPr>
      </w:pPr>
      <w:r w:rsidRPr="00B53505">
        <w:rPr>
          <w:rFonts w:cs="Arial"/>
          <w:b/>
          <w:bCs/>
          <w:color w:val="000000"/>
          <w:spacing w:val="40"/>
          <w:szCs w:val="20"/>
          <w:lang w:val="sl-SI" w:eastAsia="sl-SI"/>
        </w:rPr>
        <w:t>ZAKON</w:t>
      </w:r>
    </w:p>
    <w:p w14:paraId="31ED2A47" w14:textId="77777777" w:rsidR="00B53505" w:rsidRPr="00B53505" w:rsidRDefault="00B53505" w:rsidP="00B53505">
      <w:pPr>
        <w:suppressAutoHyphens/>
        <w:overflowPunct w:val="0"/>
        <w:autoSpaceDE w:val="0"/>
        <w:autoSpaceDN w:val="0"/>
        <w:adjustRightInd w:val="0"/>
        <w:spacing w:line="200" w:lineRule="exact"/>
        <w:jc w:val="center"/>
        <w:textAlignment w:val="baseline"/>
        <w:rPr>
          <w:rFonts w:cs="Arial"/>
          <w:b/>
          <w:szCs w:val="20"/>
          <w:lang w:val="sl-SI"/>
        </w:rPr>
      </w:pPr>
      <w:r w:rsidRPr="00B53505">
        <w:rPr>
          <w:rFonts w:cs="Arial"/>
          <w:b/>
          <w:szCs w:val="20"/>
          <w:lang w:val="sl-SI"/>
        </w:rPr>
        <w:t xml:space="preserve">O IZVAJANJU UREDBE (EU) </w:t>
      </w:r>
      <w:bookmarkEnd w:id="4"/>
      <w:r w:rsidRPr="00B53505">
        <w:rPr>
          <w:rFonts w:cs="Arial"/>
          <w:b/>
          <w:szCs w:val="20"/>
          <w:lang w:val="sl-SI"/>
        </w:rPr>
        <w:t xml:space="preserve">O EVROPSKEM UPRAVLJANJU PODATKOV </w:t>
      </w:r>
    </w:p>
    <w:p w14:paraId="727BA34E" w14:textId="77777777" w:rsidR="00B53505" w:rsidRPr="00B53505" w:rsidRDefault="00B53505" w:rsidP="00B53505">
      <w:pPr>
        <w:spacing w:line="240" w:lineRule="auto"/>
        <w:jc w:val="both"/>
        <w:rPr>
          <w:rFonts w:cs="Arial"/>
          <w:b/>
          <w:szCs w:val="20"/>
          <w:lang w:val="sl-SI"/>
        </w:rPr>
      </w:pPr>
    </w:p>
    <w:p w14:paraId="0C34EC69" w14:textId="77777777" w:rsidR="00B53505" w:rsidRPr="00B53505" w:rsidRDefault="00B53505" w:rsidP="00B53505">
      <w:pPr>
        <w:spacing w:line="240" w:lineRule="auto"/>
        <w:jc w:val="both"/>
        <w:rPr>
          <w:rFonts w:cs="Arial"/>
          <w:szCs w:val="20"/>
          <w:lang w:val="sl-SI"/>
        </w:rPr>
      </w:pPr>
    </w:p>
    <w:p w14:paraId="655E4266" w14:textId="77777777" w:rsidR="00B53505" w:rsidRPr="00B53505" w:rsidRDefault="00B53505" w:rsidP="00B53505">
      <w:pPr>
        <w:suppressAutoHyphens/>
        <w:overflowPunct w:val="0"/>
        <w:autoSpaceDE w:val="0"/>
        <w:autoSpaceDN w:val="0"/>
        <w:adjustRightInd w:val="0"/>
        <w:spacing w:line="240" w:lineRule="auto"/>
        <w:jc w:val="center"/>
        <w:textAlignment w:val="baseline"/>
        <w:rPr>
          <w:rFonts w:cs="Arial"/>
          <w:b/>
          <w:szCs w:val="20"/>
          <w:lang w:val="sl-SI"/>
        </w:rPr>
      </w:pPr>
      <w:r w:rsidRPr="00B53505">
        <w:rPr>
          <w:rFonts w:cs="Arial"/>
          <w:b/>
          <w:szCs w:val="20"/>
          <w:lang w:val="sl-SI"/>
        </w:rPr>
        <w:t>I. Splošne določbe</w:t>
      </w:r>
    </w:p>
    <w:p w14:paraId="6C261D1E" w14:textId="77777777" w:rsidR="00B53505" w:rsidRPr="00B53505" w:rsidRDefault="00B53505" w:rsidP="00B53505">
      <w:pPr>
        <w:suppressAutoHyphens/>
        <w:overflowPunct w:val="0"/>
        <w:autoSpaceDE w:val="0"/>
        <w:autoSpaceDN w:val="0"/>
        <w:adjustRightInd w:val="0"/>
        <w:spacing w:line="240" w:lineRule="auto"/>
        <w:jc w:val="center"/>
        <w:textAlignment w:val="baseline"/>
        <w:rPr>
          <w:rFonts w:cs="Arial"/>
          <w:b/>
          <w:szCs w:val="20"/>
          <w:lang w:val="sl-SI"/>
        </w:rPr>
      </w:pPr>
    </w:p>
    <w:p w14:paraId="0D37EE7B" w14:textId="77777777" w:rsidR="00B53505" w:rsidRPr="00B53505" w:rsidRDefault="00B53505" w:rsidP="00B53505">
      <w:pPr>
        <w:suppressAutoHyphens/>
        <w:overflowPunct w:val="0"/>
        <w:autoSpaceDE w:val="0"/>
        <w:autoSpaceDN w:val="0"/>
        <w:adjustRightInd w:val="0"/>
        <w:spacing w:line="240" w:lineRule="auto"/>
        <w:jc w:val="center"/>
        <w:textAlignment w:val="baseline"/>
        <w:rPr>
          <w:rFonts w:cs="Arial"/>
          <w:b/>
          <w:szCs w:val="20"/>
          <w:lang w:val="sl-SI"/>
        </w:rPr>
      </w:pPr>
    </w:p>
    <w:p w14:paraId="35C48B6C" w14:textId="77777777" w:rsidR="00B53505" w:rsidRPr="00B53505" w:rsidRDefault="00B53505" w:rsidP="00B53505">
      <w:pPr>
        <w:suppressAutoHyphens/>
        <w:overflowPunct w:val="0"/>
        <w:autoSpaceDE w:val="0"/>
        <w:autoSpaceDN w:val="0"/>
        <w:adjustRightInd w:val="0"/>
        <w:spacing w:line="240" w:lineRule="auto"/>
        <w:jc w:val="center"/>
        <w:textAlignment w:val="baseline"/>
        <w:rPr>
          <w:rFonts w:cs="Arial"/>
          <w:b/>
          <w:szCs w:val="20"/>
          <w:lang w:val="sl-SI"/>
        </w:rPr>
      </w:pPr>
      <w:r w:rsidRPr="00B53505">
        <w:rPr>
          <w:rFonts w:cs="Arial"/>
          <w:b/>
          <w:szCs w:val="20"/>
          <w:lang w:val="sl-SI"/>
        </w:rPr>
        <w:t>1. člen</w:t>
      </w:r>
    </w:p>
    <w:p w14:paraId="5025848D" w14:textId="77777777" w:rsidR="00B53505" w:rsidRPr="00B53505" w:rsidRDefault="00B53505" w:rsidP="00B53505">
      <w:pPr>
        <w:suppressAutoHyphens/>
        <w:overflowPunct w:val="0"/>
        <w:autoSpaceDE w:val="0"/>
        <w:autoSpaceDN w:val="0"/>
        <w:adjustRightInd w:val="0"/>
        <w:spacing w:line="240" w:lineRule="auto"/>
        <w:jc w:val="center"/>
        <w:textAlignment w:val="baseline"/>
        <w:rPr>
          <w:rFonts w:cs="Arial"/>
          <w:b/>
          <w:szCs w:val="20"/>
          <w:lang w:val="sl-SI"/>
        </w:rPr>
      </w:pPr>
      <w:r w:rsidRPr="00B53505">
        <w:rPr>
          <w:rFonts w:cs="Arial"/>
          <w:b/>
          <w:szCs w:val="20"/>
          <w:lang w:val="sl-SI"/>
        </w:rPr>
        <w:t>(vsebina)</w:t>
      </w:r>
    </w:p>
    <w:p w14:paraId="4A5AF8A7" w14:textId="77777777" w:rsidR="00B53505" w:rsidRPr="00B53505" w:rsidRDefault="00B53505" w:rsidP="00B53505">
      <w:pPr>
        <w:overflowPunct w:val="0"/>
        <w:autoSpaceDE w:val="0"/>
        <w:autoSpaceDN w:val="0"/>
        <w:adjustRightInd w:val="0"/>
        <w:spacing w:line="240" w:lineRule="auto"/>
        <w:ind w:firstLine="1021"/>
        <w:jc w:val="both"/>
        <w:textAlignment w:val="baseline"/>
        <w:rPr>
          <w:rFonts w:cs="Arial"/>
          <w:szCs w:val="20"/>
          <w:lang w:val="sl-SI"/>
        </w:rPr>
      </w:pPr>
    </w:p>
    <w:p w14:paraId="1F01F9EF" w14:textId="77777777" w:rsidR="00B53505" w:rsidRPr="00B53505" w:rsidRDefault="00B53505" w:rsidP="00B53505">
      <w:pPr>
        <w:pStyle w:val="Odstavekseznama"/>
        <w:ind w:left="0"/>
        <w:jc w:val="both"/>
        <w:rPr>
          <w:szCs w:val="20"/>
          <w:lang w:val="sl-SI"/>
        </w:rPr>
      </w:pPr>
      <w:r w:rsidRPr="00B53505">
        <w:rPr>
          <w:szCs w:val="20"/>
          <w:lang w:val="sl-SI"/>
        </w:rPr>
        <w:t>Ta zakon določa pristojne organe za izvajanje in nadzor nad izvajanjem Uredbe (EU) 2022/868 Evropskega parlamenta in Sveta z dne 30. maja 2022 o evropskem upravljanju podatkov in spremembi Uredbe (EU) 2018/1724 (UL L št. 152 z dne 3. junija 2022, str. 1; v nadaljnjem besedilu: Uredba 2022/868/EU), njihova pooblastila ter nadzorne ukrepe, prekrške in sankcije za izvajanje Uredbe 2022/868/EU.</w:t>
      </w:r>
    </w:p>
    <w:p w14:paraId="29DE0271" w14:textId="77777777" w:rsidR="00B53505" w:rsidRPr="00B53505" w:rsidRDefault="00B53505" w:rsidP="00B53505">
      <w:pPr>
        <w:tabs>
          <w:tab w:val="left" w:pos="6361"/>
        </w:tabs>
        <w:overflowPunct w:val="0"/>
        <w:autoSpaceDE w:val="0"/>
        <w:autoSpaceDN w:val="0"/>
        <w:adjustRightInd w:val="0"/>
        <w:spacing w:line="240" w:lineRule="auto"/>
        <w:ind w:firstLine="1021"/>
        <w:jc w:val="both"/>
        <w:textAlignment w:val="baseline"/>
        <w:rPr>
          <w:rFonts w:cs="Arial"/>
          <w:szCs w:val="20"/>
          <w:lang w:val="sl-SI"/>
        </w:rPr>
      </w:pPr>
    </w:p>
    <w:p w14:paraId="451080DE" w14:textId="77777777" w:rsidR="00B53505" w:rsidRPr="00B53505" w:rsidRDefault="00B53505" w:rsidP="00B53505">
      <w:pPr>
        <w:overflowPunct w:val="0"/>
        <w:autoSpaceDE w:val="0"/>
        <w:autoSpaceDN w:val="0"/>
        <w:adjustRightInd w:val="0"/>
        <w:spacing w:line="240" w:lineRule="auto"/>
        <w:ind w:firstLine="1021"/>
        <w:jc w:val="both"/>
        <w:textAlignment w:val="baseline"/>
        <w:rPr>
          <w:rFonts w:cs="Arial"/>
          <w:szCs w:val="20"/>
          <w:lang w:val="sl-SI"/>
        </w:rPr>
      </w:pPr>
    </w:p>
    <w:p w14:paraId="252C99FE" w14:textId="77777777" w:rsidR="00B53505" w:rsidRPr="00B53505" w:rsidRDefault="00B53505" w:rsidP="00B53505">
      <w:pPr>
        <w:suppressAutoHyphens/>
        <w:overflowPunct w:val="0"/>
        <w:autoSpaceDE w:val="0"/>
        <w:autoSpaceDN w:val="0"/>
        <w:adjustRightInd w:val="0"/>
        <w:spacing w:line="240" w:lineRule="auto"/>
        <w:jc w:val="center"/>
        <w:textAlignment w:val="baseline"/>
        <w:rPr>
          <w:rFonts w:cs="Arial"/>
          <w:b/>
          <w:szCs w:val="20"/>
          <w:lang w:val="sl-SI"/>
        </w:rPr>
      </w:pPr>
      <w:r w:rsidRPr="00B53505">
        <w:rPr>
          <w:rFonts w:cs="Arial"/>
          <w:b/>
          <w:szCs w:val="20"/>
          <w:lang w:val="sl-SI"/>
        </w:rPr>
        <w:t>II. Ponovna uporaba nekaterih kategorij zaščitenih podatkov javnega sektorja</w:t>
      </w:r>
    </w:p>
    <w:p w14:paraId="3B1C7AD8" w14:textId="77777777" w:rsidR="00B53505" w:rsidRPr="00B53505" w:rsidRDefault="00B53505" w:rsidP="00B53505">
      <w:pPr>
        <w:overflowPunct w:val="0"/>
        <w:autoSpaceDE w:val="0"/>
        <w:autoSpaceDN w:val="0"/>
        <w:adjustRightInd w:val="0"/>
        <w:spacing w:line="240" w:lineRule="auto"/>
        <w:jc w:val="both"/>
        <w:textAlignment w:val="baseline"/>
        <w:rPr>
          <w:rFonts w:cs="Arial"/>
          <w:szCs w:val="20"/>
          <w:highlight w:val="yellow"/>
          <w:lang w:val="sl-SI"/>
        </w:rPr>
      </w:pPr>
    </w:p>
    <w:p w14:paraId="4EA17494" w14:textId="77777777" w:rsidR="00B53505" w:rsidRPr="00B53505" w:rsidRDefault="00B53505" w:rsidP="00B53505">
      <w:pPr>
        <w:overflowPunct w:val="0"/>
        <w:autoSpaceDE w:val="0"/>
        <w:autoSpaceDN w:val="0"/>
        <w:adjustRightInd w:val="0"/>
        <w:spacing w:line="240" w:lineRule="auto"/>
        <w:jc w:val="both"/>
        <w:textAlignment w:val="baseline"/>
        <w:rPr>
          <w:rFonts w:cs="Arial"/>
          <w:szCs w:val="20"/>
          <w:highlight w:val="yellow"/>
          <w:lang w:val="sl-SI"/>
        </w:rPr>
      </w:pPr>
    </w:p>
    <w:p w14:paraId="23022FE1" w14:textId="77777777" w:rsidR="00B53505" w:rsidRPr="00B53505" w:rsidRDefault="00B53505" w:rsidP="00B53505">
      <w:pPr>
        <w:suppressAutoHyphens/>
        <w:overflowPunct w:val="0"/>
        <w:autoSpaceDE w:val="0"/>
        <w:autoSpaceDN w:val="0"/>
        <w:adjustRightInd w:val="0"/>
        <w:spacing w:line="240" w:lineRule="auto"/>
        <w:jc w:val="center"/>
        <w:textAlignment w:val="baseline"/>
        <w:rPr>
          <w:rFonts w:cs="Arial"/>
          <w:b/>
          <w:szCs w:val="20"/>
          <w:lang w:val="sl-SI"/>
        </w:rPr>
      </w:pPr>
      <w:r w:rsidRPr="00B53505">
        <w:rPr>
          <w:rFonts w:cs="Arial"/>
          <w:b/>
          <w:szCs w:val="20"/>
          <w:lang w:val="sl-SI"/>
        </w:rPr>
        <w:t>2. člen</w:t>
      </w:r>
    </w:p>
    <w:p w14:paraId="25F3839C" w14:textId="77777777" w:rsidR="00B53505" w:rsidRPr="00B53505" w:rsidRDefault="00B53505" w:rsidP="00B53505">
      <w:pPr>
        <w:suppressAutoHyphens/>
        <w:overflowPunct w:val="0"/>
        <w:autoSpaceDE w:val="0"/>
        <w:autoSpaceDN w:val="0"/>
        <w:adjustRightInd w:val="0"/>
        <w:spacing w:line="240" w:lineRule="auto"/>
        <w:jc w:val="center"/>
        <w:textAlignment w:val="baseline"/>
        <w:rPr>
          <w:rFonts w:cs="Arial"/>
          <w:b/>
          <w:szCs w:val="20"/>
          <w:lang w:val="sl-SI"/>
        </w:rPr>
      </w:pPr>
      <w:r w:rsidRPr="00B53505">
        <w:rPr>
          <w:rFonts w:cs="Arial"/>
          <w:b/>
          <w:szCs w:val="20"/>
          <w:lang w:val="sl-SI"/>
        </w:rPr>
        <w:t>(pristojni organ)</w:t>
      </w:r>
    </w:p>
    <w:p w14:paraId="0A0CCC58" w14:textId="77777777" w:rsidR="00B53505" w:rsidRPr="00B53505" w:rsidRDefault="00B53505" w:rsidP="00B53505">
      <w:pPr>
        <w:rPr>
          <w:lang w:val="sl-SI"/>
        </w:rPr>
      </w:pPr>
    </w:p>
    <w:p w14:paraId="28080930" w14:textId="77777777" w:rsidR="00B53505" w:rsidRPr="00B53505" w:rsidRDefault="00B53505" w:rsidP="00B53505">
      <w:pPr>
        <w:pStyle w:val="Odstavekseznama"/>
        <w:ind w:left="0"/>
        <w:jc w:val="both"/>
        <w:rPr>
          <w:lang w:val="sl-SI"/>
        </w:rPr>
      </w:pPr>
      <w:r w:rsidRPr="00B53505">
        <w:rPr>
          <w:lang w:val="sl-SI"/>
        </w:rPr>
        <w:t>(1) Naloge pristojnega organa iz prvega odstavka 7. člena Uredbe 2022/868/EU in naloge enotne informacijske točke iz prvega odstavka 8. člena Uredbe 2022/868/EU izvaja ministrstvo, pristojno za digitalno preobrazbo (v nadaljnjem besedilu: ministrstvo).</w:t>
      </w:r>
    </w:p>
    <w:p w14:paraId="57553946" w14:textId="77777777" w:rsidR="00B53505" w:rsidRPr="00B53505" w:rsidRDefault="00B53505" w:rsidP="00B53505">
      <w:pPr>
        <w:pStyle w:val="Odstavekseznama"/>
        <w:ind w:left="0"/>
        <w:jc w:val="both"/>
        <w:rPr>
          <w:lang w:val="sl-SI"/>
        </w:rPr>
      </w:pPr>
    </w:p>
    <w:p w14:paraId="7B830D2A" w14:textId="77777777" w:rsidR="00B53505" w:rsidRPr="00B53505" w:rsidRDefault="00B53505" w:rsidP="00B53505">
      <w:pPr>
        <w:pStyle w:val="Odstavekseznama"/>
        <w:ind w:left="0"/>
        <w:jc w:val="both"/>
        <w:rPr>
          <w:lang w:val="sl-SI"/>
        </w:rPr>
      </w:pPr>
      <w:r w:rsidRPr="00B53505">
        <w:rPr>
          <w:szCs w:val="20"/>
          <w:lang w:val="sl-SI"/>
        </w:rPr>
        <w:t xml:space="preserve">(2) </w:t>
      </w:r>
      <w:bookmarkStart w:id="5" w:name="_Hlk170305737"/>
      <w:r w:rsidRPr="00B53505">
        <w:rPr>
          <w:szCs w:val="20"/>
          <w:lang w:val="sl-SI"/>
        </w:rPr>
        <w:t xml:space="preserve">Na enotni informacijski točki </w:t>
      </w:r>
      <w:r w:rsidRPr="00B53505">
        <w:rPr>
          <w:lang w:val="sl-SI"/>
        </w:rPr>
        <w:t xml:space="preserve">iz prejšnjega odstavka so objavljeni seznami evidenc o </w:t>
      </w:r>
      <w:r w:rsidRPr="00B53505">
        <w:rPr>
          <w:szCs w:val="20"/>
          <w:lang w:val="sl-SI"/>
        </w:rPr>
        <w:t>kategorijah podatkov, ki jih hranijo organi javnega sektorja in ki so zaščiteni iz razlogov iz prvega odstavka 3. člena Uredbe 2022/868/EU (v nadaljnjem besedilu: zaščiteni podatki javnega sektorja)</w:t>
      </w:r>
      <w:r w:rsidRPr="00B53505">
        <w:rPr>
          <w:lang w:val="sl-SI"/>
        </w:rPr>
        <w:t>, ki so opisani z metapodatki, kot jih predvideva podzakonski predpis, izdan na podlagi zakona, ki ureja posredovanje in ponovno uporabo informacij javnega značaja.</w:t>
      </w:r>
      <w:bookmarkEnd w:id="5"/>
    </w:p>
    <w:p w14:paraId="6D9D032F" w14:textId="77777777" w:rsidR="00B53505" w:rsidRPr="00B53505" w:rsidRDefault="00B53505" w:rsidP="00B53505">
      <w:pPr>
        <w:pStyle w:val="Odstavekseznama"/>
        <w:ind w:left="0"/>
        <w:jc w:val="both"/>
        <w:rPr>
          <w:lang w:val="sl-SI"/>
        </w:rPr>
      </w:pPr>
    </w:p>
    <w:p w14:paraId="3B9016E3" w14:textId="77777777" w:rsidR="00B53505" w:rsidRPr="00B53505" w:rsidRDefault="00B53505" w:rsidP="00B53505">
      <w:pPr>
        <w:jc w:val="both"/>
        <w:rPr>
          <w:lang w:val="sl-SI"/>
        </w:rPr>
      </w:pPr>
      <w:r w:rsidRPr="00B53505">
        <w:rPr>
          <w:lang w:val="sl-SI"/>
        </w:rPr>
        <w:t>(3) Varno okolje za obdelavo zaščitenih podatkov javnega sektorja iz četrtega odstavka 7. člena Uredbe 2022/868/EU zagotavlja ministrstvo.</w:t>
      </w:r>
    </w:p>
    <w:p w14:paraId="21CAE333" w14:textId="77777777" w:rsidR="00B53505" w:rsidRPr="00B53505" w:rsidRDefault="00B53505" w:rsidP="00B53505">
      <w:pPr>
        <w:pStyle w:val="Odstavekseznama"/>
        <w:ind w:left="0"/>
        <w:jc w:val="both"/>
        <w:rPr>
          <w:lang w:val="sl-SI"/>
        </w:rPr>
      </w:pPr>
    </w:p>
    <w:p w14:paraId="7F7AE21B" w14:textId="77777777" w:rsidR="00B53505" w:rsidRPr="00B53505" w:rsidRDefault="00B53505" w:rsidP="00B53505">
      <w:pPr>
        <w:pStyle w:val="Odstavekseznama"/>
        <w:ind w:left="0"/>
        <w:jc w:val="both"/>
        <w:rPr>
          <w:lang w:val="sl-SI"/>
        </w:rPr>
      </w:pPr>
      <w:r w:rsidRPr="00B53505">
        <w:rPr>
          <w:lang w:val="sl-SI"/>
        </w:rPr>
        <w:t>(4) Organi javnega sektorja storitev zagotavljanja varnega okolja za obdelavo zaščitenih podatkov, za katere so z odločbo iz 4. člena tega zakona odobrili ponovno uporabo, plačujejo v skladu s cenikom, ki ga določi minister, pristojen za digitalno preobrazbo (v nadaljnjem besedilu: minister).</w:t>
      </w:r>
    </w:p>
    <w:p w14:paraId="28412A0F" w14:textId="77777777" w:rsidR="00B53505" w:rsidRPr="00B53505" w:rsidRDefault="00B53505" w:rsidP="00B53505">
      <w:pPr>
        <w:pStyle w:val="Odstavekseznama"/>
        <w:ind w:left="0"/>
        <w:jc w:val="both"/>
        <w:rPr>
          <w:lang w:val="sl-SI"/>
        </w:rPr>
      </w:pPr>
    </w:p>
    <w:p w14:paraId="66F74BDA" w14:textId="77777777" w:rsidR="00B53505" w:rsidRPr="00B53505" w:rsidRDefault="00B53505" w:rsidP="00B53505">
      <w:pPr>
        <w:pStyle w:val="Odstavekseznama"/>
        <w:ind w:left="0"/>
        <w:jc w:val="both"/>
        <w:rPr>
          <w:lang w:val="sl-SI"/>
        </w:rPr>
      </w:pPr>
    </w:p>
    <w:p w14:paraId="3825D232" w14:textId="77777777" w:rsidR="00B53505" w:rsidRPr="00B53505" w:rsidRDefault="00B53505" w:rsidP="00B53505">
      <w:pPr>
        <w:suppressAutoHyphens/>
        <w:overflowPunct w:val="0"/>
        <w:autoSpaceDE w:val="0"/>
        <w:autoSpaceDN w:val="0"/>
        <w:adjustRightInd w:val="0"/>
        <w:spacing w:line="240" w:lineRule="auto"/>
        <w:jc w:val="center"/>
        <w:textAlignment w:val="baseline"/>
        <w:rPr>
          <w:rFonts w:cs="Arial"/>
          <w:b/>
          <w:szCs w:val="20"/>
          <w:lang w:val="sl-SI"/>
        </w:rPr>
      </w:pPr>
      <w:r w:rsidRPr="00B53505">
        <w:rPr>
          <w:rFonts w:cs="Arial"/>
          <w:b/>
          <w:szCs w:val="20"/>
          <w:lang w:val="sl-SI"/>
        </w:rPr>
        <w:t>3. člen</w:t>
      </w:r>
    </w:p>
    <w:p w14:paraId="1DFDA680" w14:textId="77777777" w:rsidR="00B53505" w:rsidRPr="00B53505" w:rsidRDefault="00B53505" w:rsidP="00B53505">
      <w:pPr>
        <w:suppressAutoHyphens/>
        <w:overflowPunct w:val="0"/>
        <w:autoSpaceDE w:val="0"/>
        <w:autoSpaceDN w:val="0"/>
        <w:adjustRightInd w:val="0"/>
        <w:spacing w:line="240" w:lineRule="auto"/>
        <w:jc w:val="center"/>
        <w:textAlignment w:val="baseline"/>
        <w:rPr>
          <w:rFonts w:cs="Arial"/>
          <w:b/>
          <w:szCs w:val="20"/>
          <w:lang w:val="sl-SI"/>
        </w:rPr>
      </w:pPr>
      <w:r w:rsidRPr="00B53505">
        <w:rPr>
          <w:rFonts w:cs="Arial"/>
          <w:b/>
          <w:szCs w:val="20"/>
          <w:lang w:val="sl-SI"/>
        </w:rPr>
        <w:t>(ponovna uporaba zaščitenih kategorij podatkov)</w:t>
      </w:r>
    </w:p>
    <w:p w14:paraId="26E94A47" w14:textId="77777777" w:rsidR="00B53505" w:rsidRPr="00B53505" w:rsidRDefault="00B53505" w:rsidP="00B53505">
      <w:pPr>
        <w:suppressAutoHyphens/>
        <w:overflowPunct w:val="0"/>
        <w:autoSpaceDE w:val="0"/>
        <w:autoSpaceDN w:val="0"/>
        <w:adjustRightInd w:val="0"/>
        <w:spacing w:line="240" w:lineRule="auto"/>
        <w:jc w:val="center"/>
        <w:textAlignment w:val="baseline"/>
        <w:rPr>
          <w:rFonts w:cs="Arial"/>
          <w:b/>
          <w:szCs w:val="20"/>
          <w:lang w:val="sl-SI"/>
        </w:rPr>
      </w:pPr>
    </w:p>
    <w:p w14:paraId="5ED34E19" w14:textId="77777777" w:rsidR="00B53505" w:rsidRPr="00B53505" w:rsidRDefault="00B53505" w:rsidP="00B53505">
      <w:pPr>
        <w:pStyle w:val="Odstavekseznama"/>
        <w:ind w:left="0"/>
        <w:jc w:val="both"/>
        <w:rPr>
          <w:lang w:val="sl-SI"/>
        </w:rPr>
      </w:pPr>
      <w:bookmarkStart w:id="6" w:name="_Hlk155963206"/>
      <w:r w:rsidRPr="00B53505">
        <w:rPr>
          <w:szCs w:val="20"/>
          <w:lang w:val="sl-SI"/>
        </w:rPr>
        <w:t xml:space="preserve">(1) Organi javnega sektorja odločijo o </w:t>
      </w:r>
      <w:bookmarkStart w:id="7" w:name="_Hlk157599019"/>
      <w:r w:rsidRPr="00B53505">
        <w:rPr>
          <w:szCs w:val="20"/>
          <w:lang w:val="sl-SI"/>
        </w:rPr>
        <w:t xml:space="preserve">ponovni uporabi kategorij zaščitenih podatkov javnega sektorja ob upoštevanju pogojev za ponovno uporabo iz Uredbe 2022/868/EU in tega zakona ter </w:t>
      </w:r>
      <w:bookmarkStart w:id="8" w:name="_Hlk168572906"/>
      <w:r w:rsidRPr="00B53505">
        <w:rPr>
          <w:szCs w:val="20"/>
          <w:lang w:val="sl-SI"/>
        </w:rPr>
        <w:t>vodijo postopek po zakonu, ki ureja splošni upravni postopek</w:t>
      </w:r>
      <w:bookmarkEnd w:id="8"/>
      <w:r w:rsidRPr="00B53505">
        <w:rPr>
          <w:szCs w:val="20"/>
          <w:lang w:val="sl-SI"/>
        </w:rPr>
        <w:t xml:space="preserve">, če Uredba 2022/868/EU in ta zakon ne določata drugače, ter odločijo </w:t>
      </w:r>
      <w:r w:rsidRPr="00B53505">
        <w:rPr>
          <w:lang w:val="sl-SI"/>
        </w:rPr>
        <w:t>v roku 60 dni od prejema vloge oziroma v podaljšanjem roku iz drugega pododstavka prvega odstavka 9. člena Uredbe 2022/868/EU</w:t>
      </w:r>
      <w:r w:rsidRPr="00B53505">
        <w:rPr>
          <w:szCs w:val="20"/>
          <w:lang w:val="sl-SI"/>
        </w:rPr>
        <w:t>.</w:t>
      </w:r>
      <w:r w:rsidRPr="00B53505">
        <w:rPr>
          <w:lang w:val="sl-SI"/>
        </w:rPr>
        <w:t xml:space="preserve"> </w:t>
      </w:r>
    </w:p>
    <w:bookmarkEnd w:id="7"/>
    <w:p w14:paraId="6B67F9C9" w14:textId="77777777" w:rsidR="00B53505" w:rsidRPr="00B53505" w:rsidRDefault="00B53505" w:rsidP="00B53505">
      <w:pPr>
        <w:pStyle w:val="Odstavekseznama"/>
        <w:ind w:left="0"/>
        <w:jc w:val="both"/>
        <w:rPr>
          <w:lang w:val="sl-SI"/>
        </w:rPr>
      </w:pPr>
    </w:p>
    <w:p w14:paraId="0EE672A8" w14:textId="77777777" w:rsidR="00B53505" w:rsidRPr="00B53505" w:rsidRDefault="00B53505" w:rsidP="00B53505">
      <w:pPr>
        <w:pStyle w:val="Odstavekseznama"/>
        <w:ind w:left="0"/>
        <w:jc w:val="both"/>
        <w:rPr>
          <w:szCs w:val="20"/>
          <w:lang w:val="sl-SI"/>
        </w:rPr>
      </w:pPr>
      <w:bookmarkStart w:id="9" w:name="_Hlk168573045"/>
      <w:r w:rsidRPr="00B53505">
        <w:rPr>
          <w:szCs w:val="20"/>
          <w:lang w:val="sl-SI"/>
        </w:rPr>
        <w:t xml:space="preserve">(2) </w:t>
      </w:r>
      <w:bookmarkStart w:id="10" w:name="_Hlk157599124"/>
      <w:r w:rsidRPr="00B53505">
        <w:rPr>
          <w:szCs w:val="20"/>
          <w:lang w:val="sl-SI"/>
        </w:rPr>
        <w:t xml:space="preserve">Ponovna uporaba zaščitenih podatkov javnega sektorja je dovoljena </w:t>
      </w:r>
      <w:bookmarkStart w:id="11" w:name="_Hlk157515623"/>
      <w:r w:rsidRPr="00B53505">
        <w:rPr>
          <w:szCs w:val="20"/>
          <w:lang w:val="sl-SI"/>
        </w:rPr>
        <w:t xml:space="preserve">v znanstvenoraziskovalne, zgodovinskoraziskovalne in statistične namene </w:t>
      </w:r>
      <w:bookmarkEnd w:id="11"/>
      <w:r w:rsidRPr="00B53505">
        <w:rPr>
          <w:szCs w:val="20"/>
          <w:lang w:val="sl-SI"/>
        </w:rPr>
        <w:t>(v nadaljnjem besedilu: raziskovanje), če raziskovanje izvaja organizacija in posamezniki, ki pri svojem delovanju uporabljajo etična načela in metodologijo s področja raziskovanja ter pravila glede varstva podatkov iz drugega poglavja Uredbe 2022/868/EU, in če se oseba, ki je podala vlogo za ponovno uporabo zaščitenih podatkov javnega sektorja, pogodbeno zaveže, da bo spoštovala določila desetega odstavka 5. člena Uredbe 2022/868/EU.</w:t>
      </w:r>
    </w:p>
    <w:bookmarkEnd w:id="9"/>
    <w:bookmarkEnd w:id="10"/>
    <w:p w14:paraId="39C95A64" w14:textId="77777777" w:rsidR="00B53505" w:rsidRPr="00B53505" w:rsidRDefault="00B53505" w:rsidP="00B53505">
      <w:pPr>
        <w:pStyle w:val="Odstavekseznama"/>
        <w:ind w:left="0"/>
        <w:jc w:val="both"/>
        <w:rPr>
          <w:szCs w:val="20"/>
          <w:lang w:val="sl-SI"/>
        </w:rPr>
      </w:pPr>
    </w:p>
    <w:p w14:paraId="7C9D937A" w14:textId="77777777" w:rsidR="00B53505" w:rsidRPr="00B53505" w:rsidRDefault="00B53505" w:rsidP="00B53505">
      <w:pPr>
        <w:pStyle w:val="Odstavekseznama"/>
        <w:ind w:left="0"/>
        <w:jc w:val="both"/>
        <w:rPr>
          <w:szCs w:val="20"/>
          <w:lang w:val="sl-SI"/>
        </w:rPr>
      </w:pPr>
      <w:r w:rsidRPr="00B53505">
        <w:rPr>
          <w:szCs w:val="20"/>
          <w:lang w:val="sl-SI"/>
        </w:rPr>
        <w:t xml:space="preserve">(3) Ko organi javnega sektorja odločajo o ponovni uporabi osebnih podatkov, ki ne sodijo na področje uporabe Direktive (EU) 2019/1024 Evropskega parlamenta in Sveta z dne 20. junija 2019 o odprtih podatkih in ponovni uporabi informacij javnega sektorja (prenovitev) (UL L št. 172 z dne 26. 6. 2019, str. 56), vodijo postopek po zakonu, ki ureja varstvo osebnih podatkov, če Uredba 2022/868/EU in ta zakon ne določata drugače, ter odločijo </w:t>
      </w:r>
      <w:r w:rsidRPr="00B53505">
        <w:rPr>
          <w:lang w:val="sl-SI"/>
        </w:rPr>
        <w:t>v roku 60 dni od prejema vloge oziroma v podaljšanjem roku iz drugega pododstavka prvega odstavka 9. člena Uredbe 2022/868/EU</w:t>
      </w:r>
      <w:r w:rsidRPr="00B53505">
        <w:rPr>
          <w:szCs w:val="20"/>
          <w:lang w:val="sl-SI"/>
        </w:rPr>
        <w:t>.</w:t>
      </w:r>
    </w:p>
    <w:bookmarkEnd w:id="6"/>
    <w:p w14:paraId="442FB7C4" w14:textId="77777777" w:rsidR="00B53505" w:rsidRPr="00B53505" w:rsidRDefault="00B53505" w:rsidP="00B53505">
      <w:pPr>
        <w:pStyle w:val="Odstavekseznama"/>
        <w:ind w:left="0"/>
        <w:jc w:val="both"/>
        <w:rPr>
          <w:szCs w:val="20"/>
          <w:lang w:val="sl-SI"/>
        </w:rPr>
      </w:pPr>
    </w:p>
    <w:p w14:paraId="75A9AB33" w14:textId="77777777" w:rsidR="00B53505" w:rsidRPr="00B53505" w:rsidRDefault="00B53505" w:rsidP="00B53505">
      <w:pPr>
        <w:pStyle w:val="Odstavekseznama"/>
        <w:ind w:left="0"/>
        <w:jc w:val="both"/>
        <w:rPr>
          <w:szCs w:val="20"/>
          <w:lang w:val="sl-SI"/>
        </w:rPr>
      </w:pPr>
    </w:p>
    <w:p w14:paraId="0919AAEF" w14:textId="77777777" w:rsidR="00B53505" w:rsidRPr="00B53505" w:rsidRDefault="00B53505" w:rsidP="00B53505">
      <w:pPr>
        <w:suppressAutoHyphens/>
        <w:overflowPunct w:val="0"/>
        <w:autoSpaceDE w:val="0"/>
        <w:autoSpaceDN w:val="0"/>
        <w:adjustRightInd w:val="0"/>
        <w:spacing w:line="240" w:lineRule="auto"/>
        <w:jc w:val="center"/>
        <w:textAlignment w:val="baseline"/>
        <w:rPr>
          <w:rFonts w:cs="Arial"/>
          <w:b/>
          <w:szCs w:val="20"/>
          <w:lang w:val="sl-SI"/>
        </w:rPr>
      </w:pPr>
      <w:r w:rsidRPr="00B53505">
        <w:rPr>
          <w:rFonts w:cs="Arial"/>
          <w:b/>
          <w:szCs w:val="20"/>
          <w:lang w:val="sl-SI"/>
        </w:rPr>
        <w:t>4. člen</w:t>
      </w:r>
    </w:p>
    <w:p w14:paraId="38BF396A" w14:textId="77777777" w:rsidR="00B53505" w:rsidRPr="00B53505" w:rsidRDefault="00B53505" w:rsidP="00B53505">
      <w:pPr>
        <w:suppressAutoHyphens/>
        <w:overflowPunct w:val="0"/>
        <w:autoSpaceDE w:val="0"/>
        <w:autoSpaceDN w:val="0"/>
        <w:adjustRightInd w:val="0"/>
        <w:spacing w:line="240" w:lineRule="auto"/>
        <w:jc w:val="center"/>
        <w:textAlignment w:val="baseline"/>
        <w:rPr>
          <w:rFonts w:cs="Arial"/>
          <w:b/>
          <w:szCs w:val="20"/>
          <w:lang w:val="sl-SI"/>
        </w:rPr>
      </w:pPr>
      <w:r w:rsidRPr="00B53505">
        <w:rPr>
          <w:rFonts w:cs="Arial"/>
          <w:b/>
          <w:szCs w:val="20"/>
          <w:lang w:val="sl-SI"/>
        </w:rPr>
        <w:t>(vloga za ponovno uporabo zaščitenih podatkov javnega sektorja)</w:t>
      </w:r>
    </w:p>
    <w:p w14:paraId="1B0A5FE4" w14:textId="77777777" w:rsidR="00B53505" w:rsidRPr="00B53505" w:rsidRDefault="00B53505" w:rsidP="00B53505">
      <w:pPr>
        <w:suppressAutoHyphens/>
        <w:overflowPunct w:val="0"/>
        <w:autoSpaceDE w:val="0"/>
        <w:autoSpaceDN w:val="0"/>
        <w:adjustRightInd w:val="0"/>
        <w:spacing w:line="240" w:lineRule="auto"/>
        <w:jc w:val="center"/>
        <w:textAlignment w:val="baseline"/>
        <w:rPr>
          <w:rFonts w:cs="Arial"/>
          <w:b/>
          <w:szCs w:val="20"/>
          <w:lang w:val="sl-SI"/>
        </w:rPr>
      </w:pPr>
    </w:p>
    <w:p w14:paraId="780D7322" w14:textId="77777777" w:rsidR="00B53505" w:rsidRPr="00B53505" w:rsidRDefault="00B53505" w:rsidP="00B53505">
      <w:pPr>
        <w:pStyle w:val="Odstavekseznama"/>
        <w:ind w:left="0"/>
        <w:jc w:val="both"/>
        <w:rPr>
          <w:szCs w:val="20"/>
          <w:lang w:val="sl-SI"/>
        </w:rPr>
      </w:pPr>
      <w:r w:rsidRPr="00B53505">
        <w:rPr>
          <w:szCs w:val="20"/>
          <w:lang w:val="sl-SI"/>
        </w:rPr>
        <w:t>(1) Vloga za ponovno uporabo zaščitenih podatkov javnega sektorja vsebuje naslednje podatke:</w:t>
      </w:r>
    </w:p>
    <w:p w14:paraId="3706E03B" w14:textId="77777777" w:rsidR="00B53505" w:rsidRPr="00B53505" w:rsidRDefault="00B53505" w:rsidP="00B53505">
      <w:pPr>
        <w:pStyle w:val="Odstavekseznama"/>
        <w:numPr>
          <w:ilvl w:val="0"/>
          <w:numId w:val="36"/>
        </w:numPr>
        <w:spacing w:line="260" w:lineRule="atLeast"/>
        <w:contextualSpacing/>
        <w:jc w:val="both"/>
        <w:rPr>
          <w:szCs w:val="20"/>
          <w:lang w:val="sl-SI"/>
        </w:rPr>
      </w:pPr>
      <w:r w:rsidRPr="00B53505">
        <w:rPr>
          <w:szCs w:val="20"/>
          <w:lang w:val="sl-SI"/>
        </w:rPr>
        <w:t>podatke o vlagatelju (za fizično osebo: osebno ime, naslov stalnega ali začasnega prebivališča; za samostojnega podjetnika posameznika, posameznika, ki samostojno opravlja dejavnost, ter za pravno osebo: naziv oziroma firmo in naslov oziroma sedež in matično številko) ter podpis vlagatelja oziroma pooblaščene osebe,</w:t>
      </w:r>
    </w:p>
    <w:p w14:paraId="1DD4FB19" w14:textId="77777777" w:rsidR="00B53505" w:rsidRPr="00B53505" w:rsidRDefault="00B53505" w:rsidP="00B53505">
      <w:pPr>
        <w:pStyle w:val="Odstavekseznama"/>
        <w:numPr>
          <w:ilvl w:val="0"/>
          <w:numId w:val="36"/>
        </w:numPr>
        <w:spacing w:line="260" w:lineRule="atLeast"/>
        <w:contextualSpacing/>
        <w:jc w:val="both"/>
        <w:rPr>
          <w:szCs w:val="20"/>
          <w:lang w:val="sl-SI"/>
        </w:rPr>
      </w:pPr>
      <w:r w:rsidRPr="00B53505">
        <w:rPr>
          <w:szCs w:val="20"/>
          <w:lang w:val="sl-SI"/>
        </w:rPr>
        <w:t>kateremu organu javnega sektorja, ki hrani zaščitene podatke javnega sektorja, se vloga pošilja,</w:t>
      </w:r>
    </w:p>
    <w:p w14:paraId="0EB1A263" w14:textId="77777777" w:rsidR="00B53505" w:rsidRPr="00B53505" w:rsidRDefault="00B53505" w:rsidP="00B53505">
      <w:pPr>
        <w:pStyle w:val="Odstavekseznama"/>
        <w:numPr>
          <w:ilvl w:val="0"/>
          <w:numId w:val="36"/>
        </w:numPr>
        <w:spacing w:line="260" w:lineRule="atLeast"/>
        <w:contextualSpacing/>
        <w:jc w:val="both"/>
        <w:rPr>
          <w:szCs w:val="20"/>
          <w:lang w:val="sl-SI"/>
        </w:rPr>
      </w:pPr>
      <w:r w:rsidRPr="00B53505">
        <w:rPr>
          <w:szCs w:val="20"/>
          <w:lang w:val="sl-SI"/>
        </w:rPr>
        <w:t>konkretno opredelitev, do katerih zaščitenih podatkov javnega sektorja želi vlagatelj dostopati in jih ponovno uporabiti,</w:t>
      </w:r>
    </w:p>
    <w:p w14:paraId="4FAF5B33" w14:textId="77777777" w:rsidR="00B53505" w:rsidRPr="00B53505" w:rsidRDefault="00B53505" w:rsidP="00B53505">
      <w:pPr>
        <w:pStyle w:val="Odstavekseznama"/>
        <w:numPr>
          <w:ilvl w:val="0"/>
          <w:numId w:val="36"/>
        </w:numPr>
        <w:spacing w:line="260" w:lineRule="atLeast"/>
        <w:contextualSpacing/>
        <w:jc w:val="both"/>
        <w:rPr>
          <w:szCs w:val="20"/>
          <w:lang w:val="sl-SI"/>
        </w:rPr>
      </w:pPr>
      <w:r w:rsidRPr="00B53505">
        <w:rPr>
          <w:szCs w:val="20"/>
          <w:lang w:val="sl-SI"/>
        </w:rPr>
        <w:t>namen ponovne uporabe zaščitenih podatkov javnega sektorja in razloge, ki izkazujejo ustreznost, relevantnost in omejenost zaščitenih podatkov javnega sektorja na to, kar je potrebno za dosego namenov pridobitve;</w:t>
      </w:r>
    </w:p>
    <w:p w14:paraId="154A85F4" w14:textId="77777777" w:rsidR="00B53505" w:rsidRPr="00B53505" w:rsidRDefault="00B53505" w:rsidP="00B53505">
      <w:pPr>
        <w:pStyle w:val="Odstavekseznama"/>
        <w:numPr>
          <w:ilvl w:val="0"/>
          <w:numId w:val="36"/>
        </w:numPr>
        <w:spacing w:line="260" w:lineRule="atLeast"/>
        <w:contextualSpacing/>
        <w:jc w:val="both"/>
        <w:rPr>
          <w:szCs w:val="20"/>
          <w:lang w:val="sl-SI"/>
        </w:rPr>
      </w:pPr>
      <w:r w:rsidRPr="00B53505">
        <w:rPr>
          <w:szCs w:val="20"/>
          <w:lang w:val="sl-SI"/>
        </w:rPr>
        <w:t>navedbo, ali namerava neosebne zaščitene podatke javnega sektorja prenesti v tretjo državo in katero ter navedbo namena takega prenosa,</w:t>
      </w:r>
    </w:p>
    <w:p w14:paraId="67018D9F" w14:textId="77777777" w:rsidR="00B53505" w:rsidRPr="00B53505" w:rsidRDefault="00B53505" w:rsidP="00B53505">
      <w:pPr>
        <w:pStyle w:val="Odstavekseznama"/>
        <w:numPr>
          <w:ilvl w:val="0"/>
          <w:numId w:val="36"/>
        </w:numPr>
        <w:spacing w:line="260" w:lineRule="atLeast"/>
        <w:contextualSpacing/>
        <w:jc w:val="both"/>
        <w:rPr>
          <w:szCs w:val="20"/>
          <w:lang w:val="sl-SI"/>
        </w:rPr>
      </w:pPr>
      <w:r w:rsidRPr="00B53505">
        <w:rPr>
          <w:szCs w:val="20"/>
          <w:lang w:val="sl-SI"/>
        </w:rPr>
        <w:t>obliko in način pridobitve zaprošenih podatkov ter navedbo razlogov za določeno obliko podatkov,</w:t>
      </w:r>
    </w:p>
    <w:p w14:paraId="41A2FE81" w14:textId="77777777" w:rsidR="00B53505" w:rsidRPr="00B53505" w:rsidRDefault="00B53505" w:rsidP="00B53505">
      <w:pPr>
        <w:pStyle w:val="Odstavekseznama"/>
        <w:numPr>
          <w:ilvl w:val="0"/>
          <w:numId w:val="36"/>
        </w:numPr>
        <w:spacing w:line="260" w:lineRule="atLeast"/>
        <w:contextualSpacing/>
        <w:jc w:val="both"/>
        <w:rPr>
          <w:szCs w:val="20"/>
          <w:lang w:val="sl-SI"/>
        </w:rPr>
      </w:pPr>
      <w:r w:rsidRPr="00B53505">
        <w:rPr>
          <w:szCs w:val="20"/>
          <w:lang w:val="sl-SI"/>
        </w:rPr>
        <w:t xml:space="preserve">opis raziskave, ki vključuje: </w:t>
      </w:r>
    </w:p>
    <w:p w14:paraId="250A6A5D" w14:textId="77777777" w:rsidR="00B53505" w:rsidRPr="00B53505" w:rsidRDefault="00B53505" w:rsidP="00B53505">
      <w:pPr>
        <w:pStyle w:val="Odstavekseznama"/>
        <w:numPr>
          <w:ilvl w:val="1"/>
          <w:numId w:val="37"/>
        </w:numPr>
        <w:spacing w:line="260" w:lineRule="atLeast"/>
        <w:contextualSpacing/>
        <w:jc w:val="both"/>
        <w:rPr>
          <w:szCs w:val="20"/>
          <w:lang w:val="sl-SI"/>
        </w:rPr>
      </w:pPr>
      <w:r w:rsidRPr="00B53505">
        <w:rPr>
          <w:szCs w:val="20"/>
          <w:lang w:val="sl-SI"/>
        </w:rPr>
        <w:t>naslov raziskave in navedbo nosilcev raziskave (za fizične osebe osebno ime, naziv in prebivališče, za pravno osebno pa firmo, matično številko in sedež),</w:t>
      </w:r>
    </w:p>
    <w:p w14:paraId="1B9F40E9" w14:textId="77777777" w:rsidR="00B53505" w:rsidRPr="00B53505" w:rsidRDefault="00B53505" w:rsidP="00B53505">
      <w:pPr>
        <w:pStyle w:val="Odstavekseznama"/>
        <w:numPr>
          <w:ilvl w:val="1"/>
          <w:numId w:val="37"/>
        </w:numPr>
        <w:spacing w:line="260" w:lineRule="atLeast"/>
        <w:contextualSpacing/>
        <w:jc w:val="both"/>
        <w:rPr>
          <w:szCs w:val="20"/>
          <w:lang w:val="sl-SI"/>
        </w:rPr>
      </w:pPr>
      <w:r w:rsidRPr="00B53505">
        <w:rPr>
          <w:szCs w:val="20"/>
          <w:lang w:val="sl-SI"/>
        </w:rPr>
        <w:t>podatke o izvajalcih raziskave (osebno ime, naziv, prebivališče, morebitno razmerje do nosilca raziskave in morebitna šifra raziskovalca),</w:t>
      </w:r>
    </w:p>
    <w:p w14:paraId="4789FD4A" w14:textId="77777777" w:rsidR="00B53505" w:rsidRPr="00B53505" w:rsidRDefault="00B53505" w:rsidP="00B53505">
      <w:pPr>
        <w:pStyle w:val="Odstavekseznama"/>
        <w:numPr>
          <w:ilvl w:val="1"/>
          <w:numId w:val="37"/>
        </w:numPr>
        <w:spacing w:line="260" w:lineRule="atLeast"/>
        <w:contextualSpacing/>
        <w:jc w:val="both"/>
        <w:rPr>
          <w:szCs w:val="20"/>
          <w:lang w:val="sl-SI"/>
        </w:rPr>
      </w:pPr>
      <w:r w:rsidRPr="00B53505">
        <w:rPr>
          <w:szCs w:val="20"/>
          <w:lang w:val="sl-SI"/>
        </w:rPr>
        <w:t>namene oziroma cilje raziskave,</w:t>
      </w:r>
    </w:p>
    <w:p w14:paraId="13C6E723" w14:textId="77777777" w:rsidR="00B53505" w:rsidRPr="00B53505" w:rsidRDefault="00B53505" w:rsidP="00B53505">
      <w:pPr>
        <w:pStyle w:val="Odstavekseznama"/>
        <w:numPr>
          <w:ilvl w:val="1"/>
          <w:numId w:val="37"/>
        </w:numPr>
        <w:spacing w:line="260" w:lineRule="atLeast"/>
        <w:contextualSpacing/>
        <w:jc w:val="both"/>
        <w:rPr>
          <w:szCs w:val="20"/>
          <w:lang w:val="sl-SI"/>
        </w:rPr>
      </w:pPr>
      <w:r w:rsidRPr="00B53505">
        <w:rPr>
          <w:szCs w:val="20"/>
          <w:lang w:val="sl-SI"/>
        </w:rPr>
        <w:t>predvidena sredstva in dejanja ponovne uporabe podatkov, vključno z navedbo etičnih načel in metodologije iz drugega odstavka prejšnjega člena in ukrepi za varnost zaščitenih podatkov javnega sektorja,</w:t>
      </w:r>
    </w:p>
    <w:p w14:paraId="509DE8BB" w14:textId="77777777" w:rsidR="00B53505" w:rsidRPr="00B53505" w:rsidRDefault="00B53505" w:rsidP="00B53505">
      <w:pPr>
        <w:pStyle w:val="Odstavekseznama"/>
        <w:numPr>
          <w:ilvl w:val="1"/>
          <w:numId w:val="37"/>
        </w:numPr>
        <w:spacing w:line="260" w:lineRule="atLeast"/>
        <w:contextualSpacing/>
        <w:jc w:val="both"/>
        <w:rPr>
          <w:szCs w:val="20"/>
          <w:lang w:val="sl-SI"/>
        </w:rPr>
      </w:pPr>
      <w:r w:rsidRPr="00B53505">
        <w:rPr>
          <w:szCs w:val="20"/>
          <w:lang w:val="sl-SI"/>
        </w:rPr>
        <w:t>način objave ali drugačne dostopnosti raziskave.</w:t>
      </w:r>
    </w:p>
    <w:p w14:paraId="54F61E8E" w14:textId="77777777" w:rsidR="00B53505" w:rsidRPr="00B53505" w:rsidRDefault="00B53505" w:rsidP="00B53505">
      <w:pPr>
        <w:pStyle w:val="Odstavekseznama"/>
        <w:ind w:left="1440"/>
        <w:jc w:val="both"/>
        <w:rPr>
          <w:szCs w:val="20"/>
          <w:lang w:val="sl-SI"/>
        </w:rPr>
      </w:pPr>
    </w:p>
    <w:p w14:paraId="00FF1883" w14:textId="77777777" w:rsidR="00B53505" w:rsidRPr="00B53505" w:rsidRDefault="00B53505" w:rsidP="00B53505">
      <w:pPr>
        <w:pStyle w:val="Odstavekseznama"/>
        <w:ind w:left="0"/>
        <w:jc w:val="both"/>
        <w:rPr>
          <w:szCs w:val="20"/>
          <w:lang w:val="sl-SI"/>
        </w:rPr>
      </w:pPr>
      <w:r w:rsidRPr="00B53505">
        <w:rPr>
          <w:szCs w:val="20"/>
          <w:lang w:val="sl-SI"/>
        </w:rPr>
        <w:t xml:space="preserve">(2) Vloga za ponovno uporabo zaščitenih podatkov javnega sektorja se vloži v elektronski obliki na enotni informacijski točki iz 3. člena tega zakona, pri čemer se uporabi sredstvo elektronske identifikacije ravni zanesljivosti najmanj srednja ali se uporabi druge načine elektronske identifikacije za dostop do elektronskih storitev ravni zanesljivosti najmanj srednja v skladu s predpisi, ki urejajo elektronske identifikacije in storitve zaupanja. </w:t>
      </w:r>
    </w:p>
    <w:p w14:paraId="555C14C8" w14:textId="77777777" w:rsidR="00B53505" w:rsidRPr="00B53505" w:rsidRDefault="00B53505" w:rsidP="00B53505">
      <w:pPr>
        <w:suppressAutoHyphens/>
        <w:overflowPunct w:val="0"/>
        <w:autoSpaceDE w:val="0"/>
        <w:autoSpaceDN w:val="0"/>
        <w:adjustRightInd w:val="0"/>
        <w:spacing w:line="240" w:lineRule="auto"/>
        <w:jc w:val="center"/>
        <w:textAlignment w:val="baseline"/>
        <w:rPr>
          <w:rFonts w:cs="Arial"/>
          <w:b/>
          <w:szCs w:val="20"/>
          <w:lang w:val="sl-SI"/>
        </w:rPr>
      </w:pPr>
    </w:p>
    <w:p w14:paraId="48962987" w14:textId="77777777" w:rsidR="00B53505" w:rsidRPr="00B53505" w:rsidRDefault="00B53505" w:rsidP="00CC0B48">
      <w:pPr>
        <w:suppressAutoHyphens/>
        <w:overflowPunct w:val="0"/>
        <w:autoSpaceDE w:val="0"/>
        <w:autoSpaceDN w:val="0"/>
        <w:adjustRightInd w:val="0"/>
        <w:spacing w:line="240" w:lineRule="auto"/>
        <w:jc w:val="both"/>
        <w:textAlignment w:val="baseline"/>
        <w:rPr>
          <w:rFonts w:cs="Arial"/>
          <w:szCs w:val="20"/>
          <w:lang w:val="sl-SI"/>
        </w:rPr>
      </w:pPr>
      <w:r w:rsidRPr="00B53505">
        <w:rPr>
          <w:rFonts w:cs="Arial"/>
          <w:bCs/>
          <w:szCs w:val="20"/>
          <w:lang w:val="sl-SI"/>
        </w:rPr>
        <w:t>(3) Organ</w:t>
      </w:r>
      <w:r w:rsidRPr="00B53505">
        <w:rPr>
          <w:rFonts w:cs="Arial"/>
          <w:szCs w:val="20"/>
          <w:lang w:val="sl-SI"/>
        </w:rPr>
        <w:t xml:space="preserve"> javnega sektorja zavrne vlogo za ponovno uporabo zaščitenih podatkov javnega sektorja, če:</w:t>
      </w:r>
    </w:p>
    <w:p w14:paraId="43C4026D" w14:textId="77777777" w:rsidR="00B53505" w:rsidRPr="00B53505" w:rsidRDefault="00B53505" w:rsidP="00B53505">
      <w:pPr>
        <w:pStyle w:val="Odstavekseznama"/>
        <w:numPr>
          <w:ilvl w:val="0"/>
          <w:numId w:val="38"/>
        </w:numPr>
        <w:spacing w:line="260" w:lineRule="atLeast"/>
        <w:contextualSpacing/>
        <w:jc w:val="both"/>
        <w:rPr>
          <w:szCs w:val="20"/>
          <w:lang w:val="sl-SI"/>
        </w:rPr>
      </w:pPr>
      <w:r w:rsidRPr="00B53505">
        <w:rPr>
          <w:szCs w:val="20"/>
          <w:lang w:val="sl-SI"/>
        </w:rPr>
        <w:t>niso izpolnjeni pogoji iz prejšnjega člena in 5. člena Uredbe 2022/868/EU;</w:t>
      </w:r>
    </w:p>
    <w:p w14:paraId="519DD608" w14:textId="77777777" w:rsidR="00B53505" w:rsidRPr="00B53505" w:rsidRDefault="00B53505" w:rsidP="00B53505">
      <w:pPr>
        <w:pStyle w:val="Odstavekseznama"/>
        <w:numPr>
          <w:ilvl w:val="0"/>
          <w:numId w:val="38"/>
        </w:numPr>
        <w:spacing w:line="260" w:lineRule="atLeast"/>
        <w:contextualSpacing/>
        <w:jc w:val="both"/>
        <w:rPr>
          <w:szCs w:val="20"/>
          <w:lang w:val="sl-SI"/>
        </w:rPr>
      </w:pPr>
      <w:r w:rsidRPr="00B53505">
        <w:rPr>
          <w:szCs w:val="20"/>
          <w:lang w:val="sl-SI"/>
        </w:rPr>
        <w:t>oceni, da zahtevani podatki niso primerni za izvedbo raziskave iz točke g) prvega odstavka tega člena;</w:t>
      </w:r>
    </w:p>
    <w:p w14:paraId="2F28C0DB" w14:textId="77777777" w:rsidR="00B53505" w:rsidRPr="00B53505" w:rsidRDefault="00B53505" w:rsidP="00B53505">
      <w:pPr>
        <w:pStyle w:val="Odstavekseznama"/>
        <w:numPr>
          <w:ilvl w:val="0"/>
          <w:numId w:val="38"/>
        </w:numPr>
        <w:spacing w:line="260" w:lineRule="atLeast"/>
        <w:contextualSpacing/>
        <w:jc w:val="both"/>
        <w:rPr>
          <w:szCs w:val="20"/>
          <w:lang w:val="sl-SI"/>
        </w:rPr>
      </w:pPr>
      <w:r w:rsidRPr="00B53505">
        <w:rPr>
          <w:szCs w:val="20"/>
          <w:lang w:val="sl-SI"/>
        </w:rPr>
        <w:t>oceni, da nameni oziroma cilji raziskave ne upravičujejo posega v pravice posameznikov, na katere se nanašajo osebni podatki, ali imetnikov podatkov;</w:t>
      </w:r>
    </w:p>
    <w:p w14:paraId="497B6421" w14:textId="77777777" w:rsidR="00B53505" w:rsidRPr="00B53505" w:rsidRDefault="00B53505" w:rsidP="00B53505">
      <w:pPr>
        <w:pStyle w:val="Odstavekseznama"/>
        <w:numPr>
          <w:ilvl w:val="0"/>
          <w:numId w:val="38"/>
        </w:numPr>
        <w:spacing w:line="260" w:lineRule="atLeast"/>
        <w:contextualSpacing/>
        <w:jc w:val="both"/>
        <w:rPr>
          <w:szCs w:val="20"/>
          <w:lang w:val="sl-SI"/>
        </w:rPr>
      </w:pPr>
      <w:r w:rsidRPr="00B53505">
        <w:rPr>
          <w:szCs w:val="20"/>
          <w:lang w:val="sl-SI"/>
        </w:rPr>
        <w:t>oceni, da ukrepi za varnost podatkov niso ustrezni, ali</w:t>
      </w:r>
    </w:p>
    <w:p w14:paraId="1DBD2646" w14:textId="77777777" w:rsidR="00B53505" w:rsidRPr="00B53505" w:rsidRDefault="00B53505" w:rsidP="00B53505">
      <w:pPr>
        <w:pStyle w:val="Odstavekseznama"/>
        <w:numPr>
          <w:ilvl w:val="0"/>
          <w:numId w:val="38"/>
        </w:numPr>
        <w:spacing w:line="260" w:lineRule="atLeast"/>
        <w:contextualSpacing/>
        <w:jc w:val="both"/>
        <w:rPr>
          <w:szCs w:val="20"/>
          <w:lang w:val="sl-SI"/>
        </w:rPr>
      </w:pPr>
      <w:r w:rsidRPr="00B53505">
        <w:rPr>
          <w:szCs w:val="20"/>
          <w:lang w:val="sl-SI"/>
        </w:rPr>
        <w:t>gre za tajne podatke v skladu z zakonom, ki ureja tajne podatke, ali varovane podatke, za katere predpisi, ki urejajo naloge in pooblastila policije, določajo omejitve razkritja.</w:t>
      </w:r>
    </w:p>
    <w:p w14:paraId="7C720E90" w14:textId="77777777" w:rsidR="00B53505" w:rsidRPr="00B53505" w:rsidRDefault="00B53505" w:rsidP="00B53505">
      <w:pPr>
        <w:suppressAutoHyphens/>
        <w:overflowPunct w:val="0"/>
        <w:autoSpaceDE w:val="0"/>
        <w:autoSpaceDN w:val="0"/>
        <w:adjustRightInd w:val="0"/>
        <w:spacing w:line="240" w:lineRule="auto"/>
        <w:jc w:val="center"/>
        <w:textAlignment w:val="baseline"/>
        <w:rPr>
          <w:rFonts w:cs="Arial"/>
          <w:b/>
          <w:szCs w:val="20"/>
          <w:lang w:val="sl-SI"/>
        </w:rPr>
      </w:pPr>
    </w:p>
    <w:p w14:paraId="3EA5A0ED" w14:textId="77777777" w:rsidR="00B53505" w:rsidRPr="00B53505" w:rsidRDefault="00B53505" w:rsidP="00B53505">
      <w:pPr>
        <w:suppressAutoHyphens/>
        <w:overflowPunct w:val="0"/>
        <w:autoSpaceDE w:val="0"/>
        <w:autoSpaceDN w:val="0"/>
        <w:adjustRightInd w:val="0"/>
        <w:spacing w:line="240" w:lineRule="auto"/>
        <w:jc w:val="center"/>
        <w:textAlignment w:val="baseline"/>
        <w:rPr>
          <w:rFonts w:cs="Arial"/>
          <w:b/>
          <w:szCs w:val="20"/>
          <w:lang w:val="sl-SI"/>
        </w:rPr>
      </w:pPr>
    </w:p>
    <w:p w14:paraId="731B6C40" w14:textId="77777777" w:rsidR="00B53505" w:rsidRPr="00B53505" w:rsidRDefault="00B53505" w:rsidP="00B53505">
      <w:pPr>
        <w:suppressAutoHyphens/>
        <w:overflowPunct w:val="0"/>
        <w:autoSpaceDE w:val="0"/>
        <w:autoSpaceDN w:val="0"/>
        <w:adjustRightInd w:val="0"/>
        <w:spacing w:line="240" w:lineRule="auto"/>
        <w:jc w:val="center"/>
        <w:textAlignment w:val="baseline"/>
        <w:rPr>
          <w:rFonts w:cs="Arial"/>
          <w:b/>
          <w:szCs w:val="20"/>
          <w:lang w:val="sl-SI"/>
        </w:rPr>
      </w:pPr>
      <w:r w:rsidRPr="00B53505">
        <w:rPr>
          <w:rFonts w:cs="Arial"/>
          <w:b/>
          <w:szCs w:val="20"/>
          <w:lang w:val="sl-SI"/>
        </w:rPr>
        <w:t>5. člen</w:t>
      </w:r>
    </w:p>
    <w:p w14:paraId="7E14D060" w14:textId="77777777" w:rsidR="00B53505" w:rsidRPr="00B53505" w:rsidRDefault="00B53505" w:rsidP="00B53505">
      <w:pPr>
        <w:suppressAutoHyphens/>
        <w:overflowPunct w:val="0"/>
        <w:autoSpaceDE w:val="0"/>
        <w:autoSpaceDN w:val="0"/>
        <w:adjustRightInd w:val="0"/>
        <w:spacing w:line="240" w:lineRule="auto"/>
        <w:jc w:val="center"/>
        <w:textAlignment w:val="baseline"/>
        <w:rPr>
          <w:rFonts w:cs="Arial"/>
          <w:b/>
          <w:szCs w:val="20"/>
          <w:lang w:val="sl-SI"/>
        </w:rPr>
      </w:pPr>
      <w:r w:rsidRPr="00B53505">
        <w:rPr>
          <w:rFonts w:cs="Arial"/>
          <w:b/>
          <w:szCs w:val="20"/>
          <w:lang w:val="sl-SI"/>
        </w:rPr>
        <w:t>(pravno sredstvo)</w:t>
      </w:r>
    </w:p>
    <w:p w14:paraId="7F8B0043" w14:textId="77777777" w:rsidR="00B53505" w:rsidRPr="00B53505" w:rsidRDefault="00B53505" w:rsidP="00B53505">
      <w:pPr>
        <w:pStyle w:val="Odstavekseznama"/>
        <w:ind w:left="0"/>
        <w:jc w:val="both"/>
        <w:rPr>
          <w:szCs w:val="20"/>
          <w:lang w:val="sl-SI"/>
        </w:rPr>
      </w:pPr>
    </w:p>
    <w:p w14:paraId="12960141" w14:textId="77777777" w:rsidR="00B53505" w:rsidRPr="00B53505" w:rsidRDefault="00B53505" w:rsidP="00B53505">
      <w:pPr>
        <w:pStyle w:val="Odstavekseznama"/>
        <w:ind w:left="0"/>
        <w:jc w:val="both"/>
        <w:rPr>
          <w:szCs w:val="20"/>
          <w:lang w:val="sl-SI"/>
        </w:rPr>
      </w:pPr>
      <w:r w:rsidRPr="00B53505">
        <w:rPr>
          <w:szCs w:val="20"/>
          <w:lang w:val="sl-SI"/>
        </w:rPr>
        <w:t>(1) Zoper odločbo, s katero je organ javnega sektorja odločil o zahtevi za ponovno uporabo zaščitenih podatkov javnega sektorja, in zoper sklep, s katerim je organ javnega sektorja zahtevo zavrgel, ima prosilec pravico do pritožbe.</w:t>
      </w:r>
    </w:p>
    <w:p w14:paraId="1FBAD848" w14:textId="77777777" w:rsidR="00B53505" w:rsidRPr="00B53505" w:rsidRDefault="00B53505" w:rsidP="00B53505">
      <w:pPr>
        <w:pStyle w:val="Odstavekseznama"/>
        <w:ind w:left="0"/>
        <w:jc w:val="both"/>
        <w:rPr>
          <w:szCs w:val="20"/>
          <w:lang w:val="sl-SI"/>
        </w:rPr>
      </w:pPr>
    </w:p>
    <w:p w14:paraId="5E080870" w14:textId="77777777" w:rsidR="00B53505" w:rsidRPr="00B53505" w:rsidRDefault="00B53505" w:rsidP="00B53505">
      <w:pPr>
        <w:pStyle w:val="Odstavekseznama"/>
        <w:ind w:left="0"/>
        <w:jc w:val="both"/>
        <w:rPr>
          <w:szCs w:val="20"/>
          <w:lang w:val="sl-SI"/>
        </w:rPr>
      </w:pPr>
      <w:r w:rsidRPr="00B53505">
        <w:rPr>
          <w:szCs w:val="20"/>
          <w:lang w:val="sl-SI"/>
        </w:rPr>
        <w:t>(2) O pritožbi odloča Informacijski pooblaščenec.</w:t>
      </w:r>
    </w:p>
    <w:p w14:paraId="7538990F" w14:textId="77777777" w:rsidR="00B53505" w:rsidRPr="00B53505" w:rsidRDefault="00B53505" w:rsidP="00B53505">
      <w:pPr>
        <w:pStyle w:val="Odstavekseznama"/>
        <w:ind w:left="0"/>
        <w:jc w:val="both"/>
        <w:rPr>
          <w:szCs w:val="20"/>
          <w:lang w:val="sl-SI"/>
        </w:rPr>
      </w:pPr>
    </w:p>
    <w:p w14:paraId="1754D5A1" w14:textId="77777777" w:rsidR="00B53505" w:rsidRPr="00B53505" w:rsidRDefault="00B53505" w:rsidP="00B53505">
      <w:pPr>
        <w:pStyle w:val="Odstavekseznama"/>
        <w:ind w:left="0"/>
        <w:jc w:val="both"/>
        <w:rPr>
          <w:szCs w:val="20"/>
          <w:lang w:val="sl-SI"/>
        </w:rPr>
      </w:pPr>
      <w:r w:rsidRPr="00B53505">
        <w:rPr>
          <w:szCs w:val="20"/>
          <w:lang w:val="sl-SI"/>
        </w:rPr>
        <w:t>(3) Postopek s pritožbo se izvaja po določbah zakona, ki ureja splošni upravni postopek.</w:t>
      </w:r>
    </w:p>
    <w:p w14:paraId="2C943AA9" w14:textId="77777777" w:rsidR="00B53505" w:rsidRPr="00B53505" w:rsidRDefault="00B53505" w:rsidP="00B53505">
      <w:pPr>
        <w:pStyle w:val="Odstavekseznama"/>
        <w:ind w:left="0"/>
        <w:jc w:val="both"/>
        <w:rPr>
          <w:szCs w:val="20"/>
          <w:lang w:val="sl-SI"/>
        </w:rPr>
      </w:pPr>
    </w:p>
    <w:p w14:paraId="4D9B2F93" w14:textId="77777777" w:rsidR="00B53505" w:rsidRPr="00B53505" w:rsidRDefault="00B53505" w:rsidP="00B53505">
      <w:pPr>
        <w:pStyle w:val="Odstavekseznama"/>
        <w:ind w:left="0"/>
        <w:jc w:val="both"/>
        <w:rPr>
          <w:szCs w:val="20"/>
          <w:lang w:val="sl-SI"/>
        </w:rPr>
      </w:pPr>
    </w:p>
    <w:p w14:paraId="557CED7F" w14:textId="77777777" w:rsidR="00B53505" w:rsidRPr="00B53505" w:rsidRDefault="00B53505" w:rsidP="00B53505">
      <w:pPr>
        <w:suppressAutoHyphens/>
        <w:overflowPunct w:val="0"/>
        <w:autoSpaceDE w:val="0"/>
        <w:autoSpaceDN w:val="0"/>
        <w:adjustRightInd w:val="0"/>
        <w:spacing w:line="240" w:lineRule="auto"/>
        <w:jc w:val="center"/>
        <w:textAlignment w:val="baseline"/>
        <w:rPr>
          <w:rFonts w:cs="Arial"/>
          <w:b/>
          <w:szCs w:val="20"/>
          <w:lang w:val="sl-SI"/>
        </w:rPr>
      </w:pPr>
      <w:r w:rsidRPr="00B53505">
        <w:rPr>
          <w:rFonts w:cs="Arial"/>
          <w:b/>
          <w:szCs w:val="20"/>
          <w:lang w:val="sl-SI"/>
        </w:rPr>
        <w:t>6. člen</w:t>
      </w:r>
    </w:p>
    <w:p w14:paraId="34B00BD6" w14:textId="77777777" w:rsidR="00B53505" w:rsidRPr="00B53505" w:rsidRDefault="00B53505" w:rsidP="00B53505">
      <w:pPr>
        <w:suppressAutoHyphens/>
        <w:overflowPunct w:val="0"/>
        <w:autoSpaceDE w:val="0"/>
        <w:autoSpaceDN w:val="0"/>
        <w:adjustRightInd w:val="0"/>
        <w:spacing w:line="240" w:lineRule="auto"/>
        <w:jc w:val="center"/>
        <w:textAlignment w:val="baseline"/>
        <w:rPr>
          <w:rFonts w:cs="Arial"/>
          <w:b/>
          <w:szCs w:val="20"/>
          <w:lang w:val="sl-SI"/>
        </w:rPr>
      </w:pPr>
      <w:r w:rsidRPr="00B53505">
        <w:rPr>
          <w:rFonts w:cs="Arial"/>
          <w:b/>
          <w:szCs w:val="20"/>
          <w:lang w:val="sl-SI"/>
        </w:rPr>
        <w:t>(izključitev stranske udeležbe)</w:t>
      </w:r>
    </w:p>
    <w:p w14:paraId="60C2DD64" w14:textId="77777777" w:rsidR="00B53505" w:rsidRPr="00B53505" w:rsidRDefault="00B53505" w:rsidP="00B53505">
      <w:pPr>
        <w:pStyle w:val="Odstavekseznama"/>
        <w:ind w:left="0"/>
        <w:jc w:val="both"/>
        <w:rPr>
          <w:szCs w:val="20"/>
          <w:lang w:val="sl-SI"/>
        </w:rPr>
      </w:pPr>
    </w:p>
    <w:p w14:paraId="2EB43E90" w14:textId="77777777" w:rsidR="00B53505" w:rsidRPr="00B53505" w:rsidRDefault="00B53505" w:rsidP="00B53505">
      <w:pPr>
        <w:pStyle w:val="Odstavekseznama"/>
        <w:ind w:left="0"/>
        <w:jc w:val="both"/>
        <w:rPr>
          <w:szCs w:val="20"/>
          <w:lang w:val="sl-SI"/>
        </w:rPr>
      </w:pPr>
      <w:r w:rsidRPr="00B53505">
        <w:rPr>
          <w:szCs w:val="20"/>
          <w:lang w:val="sl-SI"/>
        </w:rPr>
        <w:t>V postopku s pritožbo iz prejšnjega člena ni dopustna stranska udeležba, kot jo določa zakon, ki ureja splošni upravni postopek.</w:t>
      </w:r>
    </w:p>
    <w:p w14:paraId="53D0F01B" w14:textId="77777777" w:rsidR="00B53505" w:rsidRPr="00B53505" w:rsidRDefault="00B53505" w:rsidP="00B53505">
      <w:pPr>
        <w:pStyle w:val="Odstavekseznama"/>
        <w:ind w:left="0"/>
        <w:jc w:val="both"/>
        <w:rPr>
          <w:szCs w:val="20"/>
          <w:lang w:val="sl-SI"/>
        </w:rPr>
      </w:pPr>
    </w:p>
    <w:p w14:paraId="119814D4" w14:textId="77777777" w:rsidR="00B53505" w:rsidRPr="00B53505" w:rsidRDefault="00B53505" w:rsidP="00B53505">
      <w:pPr>
        <w:pStyle w:val="Odstavekseznama"/>
        <w:ind w:left="0"/>
        <w:jc w:val="both"/>
        <w:rPr>
          <w:szCs w:val="20"/>
          <w:lang w:val="sl-SI"/>
        </w:rPr>
      </w:pPr>
    </w:p>
    <w:p w14:paraId="1263B467" w14:textId="77777777" w:rsidR="00B53505" w:rsidRPr="00B53505" w:rsidRDefault="00B53505" w:rsidP="00B53505">
      <w:pPr>
        <w:suppressAutoHyphens/>
        <w:overflowPunct w:val="0"/>
        <w:autoSpaceDE w:val="0"/>
        <w:autoSpaceDN w:val="0"/>
        <w:adjustRightInd w:val="0"/>
        <w:spacing w:line="240" w:lineRule="auto"/>
        <w:jc w:val="center"/>
        <w:textAlignment w:val="baseline"/>
        <w:rPr>
          <w:rFonts w:cs="Arial"/>
          <w:b/>
          <w:szCs w:val="20"/>
          <w:lang w:val="sl-SI"/>
        </w:rPr>
      </w:pPr>
      <w:r w:rsidRPr="00B53505">
        <w:rPr>
          <w:rFonts w:cs="Arial"/>
          <w:b/>
          <w:szCs w:val="20"/>
          <w:lang w:val="sl-SI"/>
        </w:rPr>
        <w:t>7. člen</w:t>
      </w:r>
    </w:p>
    <w:p w14:paraId="160C8D6A" w14:textId="77777777" w:rsidR="00B53505" w:rsidRPr="00B53505" w:rsidRDefault="00B53505" w:rsidP="00B53505">
      <w:pPr>
        <w:suppressAutoHyphens/>
        <w:overflowPunct w:val="0"/>
        <w:autoSpaceDE w:val="0"/>
        <w:autoSpaceDN w:val="0"/>
        <w:adjustRightInd w:val="0"/>
        <w:spacing w:line="240" w:lineRule="auto"/>
        <w:jc w:val="center"/>
        <w:textAlignment w:val="baseline"/>
        <w:rPr>
          <w:rFonts w:cs="Arial"/>
          <w:b/>
          <w:szCs w:val="20"/>
          <w:lang w:val="sl-SI"/>
        </w:rPr>
      </w:pPr>
      <w:r w:rsidRPr="00B53505">
        <w:rPr>
          <w:rFonts w:cs="Arial"/>
          <w:b/>
          <w:szCs w:val="20"/>
          <w:lang w:val="sl-SI"/>
        </w:rPr>
        <w:t>(pregled spisa v zadevah ponovne uporabe zaščitenih podatkov javnega sektorja)</w:t>
      </w:r>
    </w:p>
    <w:p w14:paraId="7A99E59C" w14:textId="77777777" w:rsidR="00B53505" w:rsidRPr="00B53505" w:rsidRDefault="00B53505" w:rsidP="00B53505">
      <w:pPr>
        <w:pStyle w:val="Odstavekseznama"/>
        <w:ind w:left="0"/>
        <w:jc w:val="center"/>
        <w:rPr>
          <w:szCs w:val="20"/>
          <w:lang w:val="sl-SI"/>
        </w:rPr>
      </w:pPr>
    </w:p>
    <w:p w14:paraId="7D0A8429" w14:textId="77777777" w:rsidR="00B53505" w:rsidRPr="00B53505" w:rsidRDefault="00B53505" w:rsidP="00B53505">
      <w:pPr>
        <w:pStyle w:val="Odstavekseznama"/>
        <w:ind w:left="0"/>
        <w:jc w:val="both"/>
        <w:rPr>
          <w:szCs w:val="20"/>
          <w:lang w:val="sl-SI"/>
        </w:rPr>
      </w:pPr>
      <w:r w:rsidRPr="00B53505">
        <w:rPr>
          <w:szCs w:val="20"/>
          <w:lang w:val="sl-SI"/>
        </w:rPr>
        <w:t xml:space="preserve">(1) Pravica strank do pregleda dokumentov v zadevah ponovne uporabe zaščitenih podatkov javnega sektorja po določbah zakona, ki ureja splošni upravni postopek, do pravnomočnosti odločbe Informacijskega pooblaščenca ne vključuje pregleda dokumentov zadeve, iz katerih bi se dalo razbrati ali sklepati na vsebino zaščitenih podatkov javnega sektorja. </w:t>
      </w:r>
    </w:p>
    <w:p w14:paraId="177D07B7" w14:textId="77777777" w:rsidR="00B53505" w:rsidRPr="00B53505" w:rsidRDefault="00B53505" w:rsidP="00B53505">
      <w:pPr>
        <w:pStyle w:val="Odstavekseznama"/>
        <w:ind w:left="0"/>
        <w:jc w:val="both"/>
        <w:rPr>
          <w:szCs w:val="20"/>
          <w:lang w:val="sl-SI"/>
        </w:rPr>
      </w:pPr>
    </w:p>
    <w:p w14:paraId="329DC3D5" w14:textId="77777777" w:rsidR="00B53505" w:rsidRPr="00B53505" w:rsidRDefault="00B53505" w:rsidP="00B53505">
      <w:pPr>
        <w:pStyle w:val="Odstavekseznama"/>
        <w:ind w:left="0"/>
        <w:jc w:val="both"/>
        <w:rPr>
          <w:szCs w:val="20"/>
          <w:lang w:val="sl-SI"/>
        </w:rPr>
      </w:pPr>
      <w:r w:rsidRPr="00B53505">
        <w:rPr>
          <w:szCs w:val="20"/>
          <w:lang w:val="sl-SI"/>
        </w:rPr>
        <w:t xml:space="preserve">(2) Po pravnomočnosti odločbe Informacijskega pooblaščenca pravica stranke iz prejšnjega odstavka vključuje pregled dokumentov zadeve v obsegu, dovoljenem s pravnomočno odločbo Informacijskega pooblaščenca. </w:t>
      </w:r>
    </w:p>
    <w:p w14:paraId="696E9FBD" w14:textId="77777777" w:rsidR="00B53505" w:rsidRPr="00B53505" w:rsidRDefault="00B53505" w:rsidP="00B53505">
      <w:pPr>
        <w:pStyle w:val="Odstavekseznama"/>
        <w:ind w:left="0"/>
        <w:jc w:val="both"/>
        <w:rPr>
          <w:szCs w:val="20"/>
          <w:lang w:val="sl-SI"/>
        </w:rPr>
      </w:pPr>
    </w:p>
    <w:p w14:paraId="53F2FBF0" w14:textId="77777777" w:rsidR="00B53505" w:rsidRPr="00B53505" w:rsidRDefault="00B53505" w:rsidP="00B53505">
      <w:pPr>
        <w:pStyle w:val="Odstavekseznama"/>
        <w:ind w:left="0"/>
        <w:jc w:val="both"/>
        <w:rPr>
          <w:szCs w:val="20"/>
          <w:lang w:val="sl-SI"/>
        </w:rPr>
      </w:pPr>
    </w:p>
    <w:p w14:paraId="2BB7FDB5" w14:textId="77777777" w:rsidR="00B53505" w:rsidRPr="00B53505" w:rsidRDefault="00B53505" w:rsidP="00B53505">
      <w:pPr>
        <w:suppressAutoHyphens/>
        <w:overflowPunct w:val="0"/>
        <w:autoSpaceDE w:val="0"/>
        <w:autoSpaceDN w:val="0"/>
        <w:adjustRightInd w:val="0"/>
        <w:spacing w:line="240" w:lineRule="auto"/>
        <w:jc w:val="center"/>
        <w:textAlignment w:val="baseline"/>
        <w:rPr>
          <w:rFonts w:cs="Arial"/>
          <w:b/>
          <w:szCs w:val="20"/>
          <w:lang w:val="sl-SI"/>
        </w:rPr>
      </w:pPr>
      <w:r w:rsidRPr="00B53505">
        <w:rPr>
          <w:rFonts w:cs="Arial"/>
          <w:b/>
          <w:szCs w:val="20"/>
          <w:lang w:val="sl-SI"/>
        </w:rPr>
        <w:t>8. člen</w:t>
      </w:r>
    </w:p>
    <w:p w14:paraId="4C8CC239" w14:textId="77777777" w:rsidR="00B53505" w:rsidRPr="00B53505" w:rsidRDefault="00B53505" w:rsidP="00B53505">
      <w:pPr>
        <w:suppressAutoHyphens/>
        <w:overflowPunct w:val="0"/>
        <w:autoSpaceDE w:val="0"/>
        <w:autoSpaceDN w:val="0"/>
        <w:adjustRightInd w:val="0"/>
        <w:spacing w:line="240" w:lineRule="auto"/>
        <w:jc w:val="center"/>
        <w:textAlignment w:val="baseline"/>
        <w:rPr>
          <w:rFonts w:cs="Arial"/>
          <w:b/>
          <w:szCs w:val="20"/>
          <w:lang w:val="sl-SI"/>
        </w:rPr>
      </w:pPr>
      <w:r w:rsidRPr="00B53505">
        <w:rPr>
          <w:rFonts w:cs="Arial"/>
          <w:b/>
          <w:szCs w:val="20"/>
          <w:lang w:val="sl-SI"/>
        </w:rPr>
        <w:t>(procesno dejanje v zadevah ponovne uporabe zaščitenih podatkov javnega sektorja)</w:t>
      </w:r>
    </w:p>
    <w:p w14:paraId="4F03EAC2" w14:textId="77777777" w:rsidR="00B53505" w:rsidRPr="00B53505" w:rsidRDefault="00B53505" w:rsidP="00B53505">
      <w:pPr>
        <w:pStyle w:val="Odstavekseznama"/>
        <w:ind w:left="0"/>
        <w:jc w:val="center"/>
        <w:rPr>
          <w:szCs w:val="20"/>
          <w:lang w:val="sl-SI"/>
        </w:rPr>
      </w:pPr>
    </w:p>
    <w:p w14:paraId="6451FD73" w14:textId="77777777" w:rsidR="00B53505" w:rsidRPr="00B53505" w:rsidRDefault="00B53505" w:rsidP="00B53505">
      <w:pPr>
        <w:pStyle w:val="Odstavekseznama"/>
        <w:ind w:left="0"/>
        <w:jc w:val="both"/>
        <w:rPr>
          <w:szCs w:val="20"/>
          <w:lang w:val="sl-SI"/>
        </w:rPr>
      </w:pPr>
      <w:r w:rsidRPr="00B53505">
        <w:rPr>
          <w:szCs w:val="20"/>
          <w:lang w:val="sl-SI"/>
        </w:rPr>
        <w:t>(1) Informacijski pooblaščenec lahko opravi procesno dejanje v zahtevi za ponovno uporabo zaščitenih podatkov javnega sektorja brez prisotnosti stranke, ki zahteva ponovno uporabo, ali osebe, ki ima v postopku enake pravice in dolžnosti kot stranka (v nadaljnjem besedilu: stranka), v celoti ali deloma, če bi taka prisotnost škodovala izvedbi uradnih postopkov ali varstvu ali uresničevanju človekovih pravic in temeljnih svoboščin tretjih oseb,</w:t>
      </w:r>
      <w:r w:rsidRPr="00B53505" w:rsidDel="00122147">
        <w:rPr>
          <w:szCs w:val="20"/>
          <w:lang w:val="sl-SI"/>
        </w:rPr>
        <w:t xml:space="preserve"> </w:t>
      </w:r>
      <w:r w:rsidRPr="00B53505">
        <w:rPr>
          <w:szCs w:val="20"/>
          <w:lang w:val="sl-SI"/>
        </w:rPr>
        <w:t>o čemer Informacijski pooblaščenec odloči s sklepom in o tem obvesti stranko. V tem primeru Informacijski pooblaščenec tudi ne dovoli prisotnosti pri drugih dejanjih v postopku in stranki ne vroča zapisnika o teh dejanjih.</w:t>
      </w:r>
    </w:p>
    <w:p w14:paraId="387510F9" w14:textId="77777777" w:rsidR="00B53505" w:rsidRPr="00B53505" w:rsidRDefault="00B53505" w:rsidP="00B53505">
      <w:pPr>
        <w:pStyle w:val="Odstavekseznama"/>
        <w:ind w:left="0"/>
        <w:jc w:val="both"/>
        <w:rPr>
          <w:szCs w:val="20"/>
          <w:lang w:val="sl-SI"/>
        </w:rPr>
      </w:pPr>
    </w:p>
    <w:p w14:paraId="7E190562" w14:textId="77777777" w:rsidR="00B53505" w:rsidRPr="00B53505" w:rsidRDefault="00B53505" w:rsidP="00B53505">
      <w:pPr>
        <w:pStyle w:val="Odstavekseznama"/>
        <w:ind w:left="0"/>
        <w:jc w:val="both"/>
        <w:rPr>
          <w:szCs w:val="20"/>
          <w:lang w:val="sl-SI"/>
        </w:rPr>
      </w:pPr>
      <w:r w:rsidRPr="00B53505">
        <w:rPr>
          <w:szCs w:val="20"/>
          <w:lang w:val="sl-SI"/>
        </w:rPr>
        <w:t>(2) Proti sklepu iz prejšnjega odstavka ni pritožbe, sklep pa se sme izpodbijati skupaj z odločitvijo o glavni zadevi.</w:t>
      </w:r>
    </w:p>
    <w:p w14:paraId="20F07425" w14:textId="77777777" w:rsidR="00B53505" w:rsidRPr="00B53505" w:rsidRDefault="00B53505" w:rsidP="00B53505">
      <w:pPr>
        <w:pStyle w:val="Odstavekseznama"/>
        <w:ind w:left="0"/>
        <w:jc w:val="both"/>
        <w:rPr>
          <w:szCs w:val="20"/>
          <w:lang w:val="sl-SI"/>
        </w:rPr>
      </w:pPr>
    </w:p>
    <w:p w14:paraId="14FD9CD7" w14:textId="77777777" w:rsidR="00B53505" w:rsidRPr="00B53505" w:rsidRDefault="00B53505" w:rsidP="00B53505">
      <w:pPr>
        <w:suppressAutoHyphens/>
        <w:overflowPunct w:val="0"/>
        <w:autoSpaceDE w:val="0"/>
        <w:autoSpaceDN w:val="0"/>
        <w:adjustRightInd w:val="0"/>
        <w:spacing w:line="240" w:lineRule="auto"/>
        <w:jc w:val="center"/>
        <w:textAlignment w:val="baseline"/>
        <w:rPr>
          <w:rFonts w:cs="Arial"/>
          <w:b/>
          <w:szCs w:val="20"/>
          <w:lang w:val="sl-SI"/>
        </w:rPr>
      </w:pPr>
    </w:p>
    <w:p w14:paraId="60769123" w14:textId="77777777" w:rsidR="00B53505" w:rsidRPr="00B53505" w:rsidRDefault="00B53505" w:rsidP="00B53505">
      <w:pPr>
        <w:suppressAutoHyphens/>
        <w:overflowPunct w:val="0"/>
        <w:autoSpaceDE w:val="0"/>
        <w:autoSpaceDN w:val="0"/>
        <w:adjustRightInd w:val="0"/>
        <w:spacing w:line="240" w:lineRule="auto"/>
        <w:jc w:val="center"/>
        <w:textAlignment w:val="baseline"/>
        <w:rPr>
          <w:rFonts w:cs="Arial"/>
          <w:b/>
          <w:szCs w:val="20"/>
          <w:lang w:val="sl-SI"/>
        </w:rPr>
      </w:pPr>
      <w:r w:rsidRPr="00B53505">
        <w:rPr>
          <w:rFonts w:cs="Arial"/>
          <w:b/>
          <w:szCs w:val="20"/>
          <w:lang w:val="sl-SI"/>
        </w:rPr>
        <w:t>9. člen</w:t>
      </w:r>
    </w:p>
    <w:p w14:paraId="3FAACBEC" w14:textId="77777777" w:rsidR="00B53505" w:rsidRPr="00B53505" w:rsidRDefault="00B53505" w:rsidP="00B53505">
      <w:pPr>
        <w:suppressAutoHyphens/>
        <w:overflowPunct w:val="0"/>
        <w:autoSpaceDE w:val="0"/>
        <w:autoSpaceDN w:val="0"/>
        <w:adjustRightInd w:val="0"/>
        <w:spacing w:line="240" w:lineRule="auto"/>
        <w:jc w:val="center"/>
        <w:textAlignment w:val="baseline"/>
        <w:rPr>
          <w:rFonts w:cs="Arial"/>
          <w:b/>
          <w:szCs w:val="20"/>
          <w:lang w:val="sl-SI"/>
        </w:rPr>
      </w:pPr>
      <w:r w:rsidRPr="00B53505">
        <w:rPr>
          <w:rFonts w:cs="Arial"/>
          <w:b/>
          <w:szCs w:val="20"/>
          <w:lang w:val="sl-SI"/>
        </w:rPr>
        <w:t>(pristojbine)</w:t>
      </w:r>
    </w:p>
    <w:p w14:paraId="165DFF45" w14:textId="77777777" w:rsidR="00B53505" w:rsidRPr="00B53505" w:rsidRDefault="00B53505" w:rsidP="00B53505">
      <w:pPr>
        <w:jc w:val="both"/>
        <w:rPr>
          <w:lang w:val="sl-SI"/>
        </w:rPr>
      </w:pPr>
      <w:r w:rsidRPr="00B53505">
        <w:rPr>
          <w:lang w:val="sl-SI"/>
        </w:rPr>
        <w:t>(1) Pri določitvi pristojbin, ki jih organ javnega sektorja na podlagi 6. člena Uredbe 2022/868/EU zaračuna za ponovno uporabo zaščitenih podatkov, se upošteva stroške iz petega odstavka 6. člena Uredbe 2022/868/EU, zahtevnost dela in višino urne postavke zaposlenih.</w:t>
      </w:r>
    </w:p>
    <w:p w14:paraId="2F16A813" w14:textId="77777777" w:rsidR="00B53505" w:rsidRPr="00B53505" w:rsidRDefault="00B53505" w:rsidP="00B53505">
      <w:pPr>
        <w:jc w:val="both"/>
        <w:rPr>
          <w:lang w:val="sl-SI"/>
        </w:rPr>
      </w:pPr>
    </w:p>
    <w:p w14:paraId="133AA89D" w14:textId="77777777" w:rsidR="00B53505" w:rsidRPr="00B53505" w:rsidRDefault="00B53505" w:rsidP="00B53505">
      <w:pPr>
        <w:jc w:val="both"/>
        <w:rPr>
          <w:lang w:val="sl-SI"/>
        </w:rPr>
      </w:pPr>
      <w:r w:rsidRPr="00B53505">
        <w:rPr>
          <w:lang w:val="sl-SI"/>
        </w:rPr>
        <w:t>(2) Vlada predpiše podrobnejša merila in metodologijo za izračun pristojbin iz prejšnjega odstavka.</w:t>
      </w:r>
    </w:p>
    <w:p w14:paraId="4C633BFE" w14:textId="77777777" w:rsidR="00B53505" w:rsidRPr="00B53505" w:rsidRDefault="00B53505" w:rsidP="00B53505">
      <w:pPr>
        <w:jc w:val="both"/>
        <w:rPr>
          <w:lang w:val="sl-SI"/>
        </w:rPr>
      </w:pPr>
    </w:p>
    <w:p w14:paraId="16015884" w14:textId="77777777" w:rsidR="00B53505" w:rsidRPr="00B53505" w:rsidRDefault="00B53505" w:rsidP="00B53505">
      <w:pPr>
        <w:jc w:val="both"/>
        <w:rPr>
          <w:lang w:val="sl-SI"/>
        </w:rPr>
      </w:pPr>
      <w:r w:rsidRPr="00B53505">
        <w:rPr>
          <w:lang w:val="sl-SI"/>
        </w:rPr>
        <w:t>(3) Minister določi pogoje in načine dodeljevanja državnih pomoči v primeru znižanega plačila ali oprostitve plačila pristojbin v skladu s četrtim odstavkom 6. člena Uredbe 2022/868/EU.</w:t>
      </w:r>
    </w:p>
    <w:p w14:paraId="4CAD803E" w14:textId="77777777" w:rsidR="00B53505" w:rsidRPr="00B53505" w:rsidRDefault="00B53505" w:rsidP="00B53505">
      <w:pPr>
        <w:rPr>
          <w:lang w:val="sl-SI"/>
        </w:rPr>
      </w:pPr>
    </w:p>
    <w:p w14:paraId="371D9E85" w14:textId="77777777" w:rsidR="00B53505" w:rsidRPr="00B53505" w:rsidRDefault="00B53505" w:rsidP="00B53505">
      <w:pPr>
        <w:overflowPunct w:val="0"/>
        <w:autoSpaceDE w:val="0"/>
        <w:autoSpaceDN w:val="0"/>
        <w:adjustRightInd w:val="0"/>
        <w:spacing w:line="240" w:lineRule="auto"/>
        <w:jc w:val="both"/>
        <w:textAlignment w:val="baseline"/>
        <w:rPr>
          <w:rFonts w:cs="Arial"/>
          <w:szCs w:val="20"/>
          <w:highlight w:val="yellow"/>
          <w:lang w:val="sl-SI"/>
        </w:rPr>
      </w:pPr>
    </w:p>
    <w:p w14:paraId="06571F8C" w14:textId="77777777" w:rsidR="00B53505" w:rsidRPr="00B53505" w:rsidRDefault="00B53505" w:rsidP="00B53505">
      <w:pPr>
        <w:suppressAutoHyphens/>
        <w:overflowPunct w:val="0"/>
        <w:autoSpaceDE w:val="0"/>
        <w:autoSpaceDN w:val="0"/>
        <w:adjustRightInd w:val="0"/>
        <w:spacing w:line="240" w:lineRule="auto"/>
        <w:jc w:val="center"/>
        <w:textAlignment w:val="baseline"/>
        <w:rPr>
          <w:rFonts w:cs="Arial"/>
          <w:b/>
          <w:szCs w:val="20"/>
          <w:lang w:val="sl-SI"/>
        </w:rPr>
      </w:pPr>
      <w:r w:rsidRPr="00B53505">
        <w:rPr>
          <w:rFonts w:cs="Arial"/>
          <w:b/>
          <w:szCs w:val="20"/>
          <w:lang w:val="sl-SI"/>
        </w:rPr>
        <w:t>III. Storitve posredovanja podatkov</w:t>
      </w:r>
    </w:p>
    <w:p w14:paraId="5761FF6C" w14:textId="77777777" w:rsidR="00B53505" w:rsidRPr="00B53505" w:rsidRDefault="00B53505" w:rsidP="00B53505">
      <w:pPr>
        <w:suppressAutoHyphens/>
        <w:overflowPunct w:val="0"/>
        <w:autoSpaceDE w:val="0"/>
        <w:autoSpaceDN w:val="0"/>
        <w:adjustRightInd w:val="0"/>
        <w:spacing w:line="240" w:lineRule="auto"/>
        <w:jc w:val="center"/>
        <w:textAlignment w:val="baseline"/>
        <w:rPr>
          <w:rFonts w:cs="Arial"/>
          <w:b/>
          <w:szCs w:val="20"/>
          <w:lang w:val="sl-SI"/>
        </w:rPr>
      </w:pPr>
    </w:p>
    <w:p w14:paraId="6590A999" w14:textId="77777777" w:rsidR="00B53505" w:rsidRPr="00B53505" w:rsidRDefault="00B53505" w:rsidP="00B53505">
      <w:pPr>
        <w:suppressAutoHyphens/>
        <w:overflowPunct w:val="0"/>
        <w:autoSpaceDE w:val="0"/>
        <w:autoSpaceDN w:val="0"/>
        <w:adjustRightInd w:val="0"/>
        <w:spacing w:line="240" w:lineRule="auto"/>
        <w:jc w:val="center"/>
        <w:textAlignment w:val="baseline"/>
        <w:rPr>
          <w:rFonts w:cs="Arial"/>
          <w:b/>
          <w:szCs w:val="20"/>
          <w:lang w:val="sl-SI"/>
        </w:rPr>
      </w:pPr>
    </w:p>
    <w:p w14:paraId="79C74AD7" w14:textId="77777777" w:rsidR="00B53505" w:rsidRPr="00B53505" w:rsidRDefault="00B53505" w:rsidP="00B53505">
      <w:pPr>
        <w:suppressAutoHyphens/>
        <w:overflowPunct w:val="0"/>
        <w:autoSpaceDE w:val="0"/>
        <w:autoSpaceDN w:val="0"/>
        <w:adjustRightInd w:val="0"/>
        <w:spacing w:line="240" w:lineRule="auto"/>
        <w:jc w:val="center"/>
        <w:textAlignment w:val="baseline"/>
        <w:rPr>
          <w:rFonts w:cs="Arial"/>
          <w:b/>
          <w:szCs w:val="20"/>
          <w:lang w:val="sl-SI"/>
        </w:rPr>
      </w:pPr>
      <w:r w:rsidRPr="00B53505">
        <w:rPr>
          <w:rFonts w:cs="Arial"/>
          <w:b/>
          <w:szCs w:val="20"/>
          <w:lang w:val="sl-SI"/>
        </w:rPr>
        <w:t>10. člen</w:t>
      </w:r>
    </w:p>
    <w:p w14:paraId="6D8F0866" w14:textId="77777777" w:rsidR="00B53505" w:rsidRPr="00B53505" w:rsidRDefault="00B53505" w:rsidP="00B53505">
      <w:pPr>
        <w:suppressAutoHyphens/>
        <w:overflowPunct w:val="0"/>
        <w:autoSpaceDE w:val="0"/>
        <w:autoSpaceDN w:val="0"/>
        <w:adjustRightInd w:val="0"/>
        <w:spacing w:line="240" w:lineRule="auto"/>
        <w:jc w:val="center"/>
        <w:textAlignment w:val="baseline"/>
        <w:rPr>
          <w:rFonts w:cs="Arial"/>
          <w:b/>
          <w:szCs w:val="20"/>
          <w:lang w:val="sl-SI"/>
        </w:rPr>
      </w:pPr>
      <w:r w:rsidRPr="00B53505">
        <w:rPr>
          <w:rFonts w:cs="Arial"/>
          <w:b/>
          <w:szCs w:val="20"/>
          <w:lang w:val="sl-SI"/>
        </w:rPr>
        <w:t>(pristojni organ)</w:t>
      </w:r>
    </w:p>
    <w:p w14:paraId="23421948" w14:textId="77777777" w:rsidR="00B53505" w:rsidRPr="00B53505" w:rsidRDefault="00B53505" w:rsidP="00B53505">
      <w:pPr>
        <w:pStyle w:val="Odstavekseznama"/>
        <w:ind w:left="0"/>
        <w:jc w:val="both"/>
        <w:rPr>
          <w:lang w:val="sl-SI"/>
        </w:rPr>
      </w:pPr>
    </w:p>
    <w:p w14:paraId="39D0AC1C" w14:textId="77777777" w:rsidR="00B53505" w:rsidRPr="00B53505" w:rsidRDefault="00B53505" w:rsidP="00B53505">
      <w:pPr>
        <w:pStyle w:val="Odstavekseznama"/>
        <w:ind w:left="0"/>
        <w:jc w:val="both"/>
        <w:rPr>
          <w:lang w:val="sl-SI"/>
        </w:rPr>
      </w:pPr>
      <w:r w:rsidRPr="00B53505">
        <w:rPr>
          <w:lang w:val="sl-SI"/>
        </w:rPr>
        <w:t>Naloge pristojnega organa iz prvega odstavka 13. člena Uredbe 2022/868/EU izvaja ministrstvo.</w:t>
      </w:r>
    </w:p>
    <w:p w14:paraId="1567768E" w14:textId="77777777" w:rsidR="00B53505" w:rsidRPr="00B53505" w:rsidRDefault="00B53505" w:rsidP="00B53505">
      <w:pPr>
        <w:pStyle w:val="Odstavekseznama"/>
        <w:ind w:left="0"/>
        <w:jc w:val="both"/>
        <w:rPr>
          <w:lang w:val="sl-SI"/>
        </w:rPr>
      </w:pPr>
    </w:p>
    <w:p w14:paraId="3D3BEAE5" w14:textId="77777777" w:rsidR="00B53505" w:rsidRPr="00B53505" w:rsidRDefault="00B53505" w:rsidP="00B53505">
      <w:pPr>
        <w:pStyle w:val="Odstavekseznama"/>
        <w:ind w:left="0"/>
        <w:jc w:val="both"/>
        <w:rPr>
          <w:lang w:val="sl-SI"/>
        </w:rPr>
      </w:pPr>
    </w:p>
    <w:p w14:paraId="3EAF2DB5" w14:textId="77777777" w:rsidR="00B53505" w:rsidRPr="00B53505" w:rsidRDefault="00B53505" w:rsidP="00B53505">
      <w:pPr>
        <w:suppressAutoHyphens/>
        <w:overflowPunct w:val="0"/>
        <w:autoSpaceDE w:val="0"/>
        <w:autoSpaceDN w:val="0"/>
        <w:adjustRightInd w:val="0"/>
        <w:spacing w:line="240" w:lineRule="auto"/>
        <w:jc w:val="center"/>
        <w:textAlignment w:val="baseline"/>
        <w:rPr>
          <w:rFonts w:cs="Arial"/>
          <w:b/>
          <w:szCs w:val="20"/>
          <w:lang w:val="sl-SI"/>
        </w:rPr>
      </w:pPr>
      <w:r w:rsidRPr="00B53505">
        <w:rPr>
          <w:rFonts w:cs="Arial"/>
          <w:b/>
          <w:szCs w:val="20"/>
          <w:lang w:val="sl-SI"/>
        </w:rPr>
        <w:t>11. člen</w:t>
      </w:r>
    </w:p>
    <w:p w14:paraId="61793C6A" w14:textId="77777777" w:rsidR="00B53505" w:rsidRPr="00B53505" w:rsidRDefault="00B53505" w:rsidP="00B53505">
      <w:pPr>
        <w:suppressAutoHyphens/>
        <w:overflowPunct w:val="0"/>
        <w:autoSpaceDE w:val="0"/>
        <w:autoSpaceDN w:val="0"/>
        <w:adjustRightInd w:val="0"/>
        <w:spacing w:line="240" w:lineRule="auto"/>
        <w:jc w:val="center"/>
        <w:textAlignment w:val="baseline"/>
        <w:rPr>
          <w:rFonts w:cs="Arial"/>
          <w:b/>
          <w:szCs w:val="20"/>
          <w:lang w:val="sl-SI"/>
        </w:rPr>
      </w:pPr>
      <w:r w:rsidRPr="00B53505">
        <w:rPr>
          <w:rFonts w:cs="Arial"/>
          <w:b/>
          <w:szCs w:val="20"/>
          <w:lang w:val="sl-SI"/>
        </w:rPr>
        <w:t>(uporaba drugih predpisov)</w:t>
      </w:r>
    </w:p>
    <w:p w14:paraId="030F892D" w14:textId="77777777" w:rsidR="00B53505" w:rsidRPr="00B53505" w:rsidRDefault="00B53505" w:rsidP="00B53505">
      <w:pPr>
        <w:suppressAutoHyphens/>
        <w:overflowPunct w:val="0"/>
        <w:autoSpaceDE w:val="0"/>
        <w:autoSpaceDN w:val="0"/>
        <w:adjustRightInd w:val="0"/>
        <w:spacing w:line="240" w:lineRule="auto"/>
        <w:jc w:val="center"/>
        <w:textAlignment w:val="baseline"/>
        <w:rPr>
          <w:rFonts w:cs="Arial"/>
          <w:b/>
          <w:szCs w:val="20"/>
          <w:lang w:val="sl-SI"/>
        </w:rPr>
      </w:pPr>
    </w:p>
    <w:p w14:paraId="060E2E96" w14:textId="77777777" w:rsidR="00B53505" w:rsidRPr="00B53505" w:rsidRDefault="00B53505" w:rsidP="00B53505">
      <w:pPr>
        <w:pStyle w:val="Odstavekseznama"/>
        <w:ind w:left="0"/>
        <w:jc w:val="both"/>
        <w:rPr>
          <w:szCs w:val="20"/>
          <w:lang w:val="sl-SI"/>
        </w:rPr>
      </w:pPr>
      <w:r w:rsidRPr="00B53505">
        <w:rPr>
          <w:szCs w:val="20"/>
          <w:lang w:val="sl-SI"/>
        </w:rPr>
        <w:t xml:space="preserve">Ministrstvo vodi postopek po zakonu, ki ureja splošni upravni postopek, če Uredba 2022/868/EU in ta zakon ne določata drugače, </w:t>
      </w:r>
      <w:r w:rsidRPr="00B53505">
        <w:rPr>
          <w:lang w:val="sl-SI"/>
        </w:rPr>
        <w:t>v roku, določenem z Uredbo 2022/868/EU</w:t>
      </w:r>
      <w:r w:rsidRPr="00B53505">
        <w:rPr>
          <w:szCs w:val="20"/>
          <w:lang w:val="sl-SI"/>
        </w:rPr>
        <w:t>.</w:t>
      </w:r>
    </w:p>
    <w:p w14:paraId="691DDC8D" w14:textId="77777777" w:rsidR="00B53505" w:rsidRPr="00B53505" w:rsidRDefault="00B53505" w:rsidP="00B53505">
      <w:pPr>
        <w:pStyle w:val="Odstavekseznama"/>
        <w:ind w:left="0"/>
        <w:jc w:val="both"/>
        <w:rPr>
          <w:szCs w:val="20"/>
          <w:lang w:val="sl-SI"/>
        </w:rPr>
      </w:pPr>
    </w:p>
    <w:p w14:paraId="39A2F690" w14:textId="77777777" w:rsidR="00B53505" w:rsidRPr="00B53505" w:rsidRDefault="00B53505" w:rsidP="00B53505">
      <w:pPr>
        <w:pStyle w:val="Odstavekseznama"/>
        <w:ind w:left="0"/>
        <w:jc w:val="both"/>
        <w:rPr>
          <w:szCs w:val="20"/>
          <w:lang w:val="sl-SI"/>
        </w:rPr>
      </w:pPr>
    </w:p>
    <w:p w14:paraId="3BD9CBB4" w14:textId="77777777" w:rsidR="00B53505" w:rsidRPr="00B53505" w:rsidRDefault="00B53505" w:rsidP="00B53505">
      <w:pPr>
        <w:suppressAutoHyphens/>
        <w:overflowPunct w:val="0"/>
        <w:autoSpaceDE w:val="0"/>
        <w:autoSpaceDN w:val="0"/>
        <w:adjustRightInd w:val="0"/>
        <w:spacing w:line="240" w:lineRule="auto"/>
        <w:jc w:val="center"/>
        <w:textAlignment w:val="baseline"/>
        <w:rPr>
          <w:rFonts w:cs="Arial"/>
          <w:b/>
          <w:szCs w:val="20"/>
          <w:lang w:val="sl-SI"/>
        </w:rPr>
      </w:pPr>
      <w:r w:rsidRPr="00B53505">
        <w:rPr>
          <w:rFonts w:cs="Arial"/>
          <w:b/>
          <w:szCs w:val="20"/>
          <w:lang w:val="sl-SI"/>
        </w:rPr>
        <w:t>12. člen</w:t>
      </w:r>
    </w:p>
    <w:p w14:paraId="2D68869E" w14:textId="77777777" w:rsidR="00B53505" w:rsidRPr="00B53505" w:rsidRDefault="00B53505" w:rsidP="00B53505">
      <w:pPr>
        <w:suppressAutoHyphens/>
        <w:overflowPunct w:val="0"/>
        <w:autoSpaceDE w:val="0"/>
        <w:autoSpaceDN w:val="0"/>
        <w:adjustRightInd w:val="0"/>
        <w:spacing w:line="240" w:lineRule="auto"/>
        <w:jc w:val="center"/>
        <w:textAlignment w:val="baseline"/>
        <w:rPr>
          <w:rFonts w:cs="Arial"/>
          <w:b/>
          <w:szCs w:val="20"/>
          <w:lang w:val="sl-SI"/>
        </w:rPr>
      </w:pPr>
      <w:r w:rsidRPr="00B53505">
        <w:rPr>
          <w:rFonts w:cs="Arial"/>
          <w:b/>
          <w:szCs w:val="20"/>
          <w:lang w:val="sl-SI"/>
        </w:rPr>
        <w:t>(priglasitev ponudnikov storitev posredovanja podatkov)</w:t>
      </w:r>
    </w:p>
    <w:p w14:paraId="1E012727" w14:textId="77777777" w:rsidR="00B53505" w:rsidRPr="00B53505" w:rsidRDefault="00B53505" w:rsidP="00B53505">
      <w:pPr>
        <w:suppressAutoHyphens/>
        <w:overflowPunct w:val="0"/>
        <w:autoSpaceDE w:val="0"/>
        <w:autoSpaceDN w:val="0"/>
        <w:adjustRightInd w:val="0"/>
        <w:spacing w:line="240" w:lineRule="auto"/>
        <w:jc w:val="center"/>
        <w:textAlignment w:val="baseline"/>
        <w:rPr>
          <w:rFonts w:cs="Arial"/>
          <w:b/>
          <w:strike/>
          <w:szCs w:val="20"/>
          <w:lang w:val="sl-SI"/>
        </w:rPr>
      </w:pPr>
    </w:p>
    <w:p w14:paraId="2D47CF26" w14:textId="77777777" w:rsidR="00B53505" w:rsidRPr="00B53505" w:rsidRDefault="00B53505" w:rsidP="00B53505">
      <w:pPr>
        <w:jc w:val="both"/>
        <w:rPr>
          <w:lang w:val="sl-SI"/>
        </w:rPr>
      </w:pPr>
      <w:bookmarkStart w:id="12" w:name="_Hlk153537627"/>
      <w:r w:rsidRPr="00B53505">
        <w:rPr>
          <w:lang w:val="sl-SI"/>
        </w:rPr>
        <w:t xml:space="preserve">(1) Ministrstvo vodi uradno evidenco ponudnikov storitev posredovanja podatkov, ki so mu priglasili opravljanje storitev posredovanja podatkov. Evidenca vsebuje podatke iz točk a), b), c), d), f) in g) šestega odstavka 11. člena Uredbe 2022/868/EU. Vpis v uradno evidenco ni pogoj za izvajanje pravic in obveznosti, ki jih imajo ponudniki storitev posredovanja po Uredbi 2022/868/EU ali po tem zakonu. </w:t>
      </w:r>
    </w:p>
    <w:p w14:paraId="36E29F53" w14:textId="77777777" w:rsidR="00B53505" w:rsidRPr="00B53505" w:rsidRDefault="00B53505" w:rsidP="00B53505">
      <w:pPr>
        <w:jc w:val="both"/>
        <w:rPr>
          <w:lang w:val="sl-SI"/>
        </w:rPr>
      </w:pPr>
    </w:p>
    <w:p w14:paraId="2F0707AC" w14:textId="77777777" w:rsidR="00B53505" w:rsidRPr="00B53505" w:rsidRDefault="00B53505" w:rsidP="00B53505">
      <w:pPr>
        <w:jc w:val="both"/>
        <w:rPr>
          <w:lang w:val="sl-SI"/>
        </w:rPr>
      </w:pPr>
      <w:r w:rsidRPr="00B53505">
        <w:rPr>
          <w:lang w:val="sl-SI"/>
        </w:rPr>
        <w:t>(2) Če ponudnik storitev posredovanja podatkov poda zahtevo iz osmega odstavka 11. člena Uredbe 2022/868/EU, mu ministrstvo izda potrdilo, ki samo po sebi ne ustvarja pravic in obveznosti po Uredbi 2022/868/EU ali tem zakonu.</w:t>
      </w:r>
    </w:p>
    <w:p w14:paraId="3BBE2721" w14:textId="77777777" w:rsidR="00B53505" w:rsidRPr="00B53505" w:rsidRDefault="00B53505" w:rsidP="00B53505">
      <w:pPr>
        <w:jc w:val="both"/>
        <w:rPr>
          <w:lang w:val="sl-SI"/>
        </w:rPr>
      </w:pPr>
    </w:p>
    <w:p w14:paraId="08EFE812" w14:textId="77777777" w:rsidR="00B53505" w:rsidRPr="00B53505" w:rsidRDefault="00B53505" w:rsidP="00B53505">
      <w:pPr>
        <w:jc w:val="both"/>
        <w:rPr>
          <w:lang w:val="sl-SI"/>
        </w:rPr>
      </w:pPr>
      <w:r w:rsidRPr="00B53505">
        <w:rPr>
          <w:lang w:val="sl-SI"/>
        </w:rPr>
        <w:t xml:space="preserve">(3) Če ponudnik storitev posredovanja podatkov poda zahtevo iz devetega odstavka 11. člena Uredbe 2022/868/EU, ministrstvo o zahtevi odloči z odločbo. </w:t>
      </w:r>
    </w:p>
    <w:p w14:paraId="76A6AE29" w14:textId="77777777" w:rsidR="00B53505" w:rsidRPr="00B53505" w:rsidRDefault="00B53505" w:rsidP="00B53505">
      <w:pPr>
        <w:jc w:val="both"/>
        <w:rPr>
          <w:lang w:val="sl-SI"/>
        </w:rPr>
      </w:pPr>
    </w:p>
    <w:p w14:paraId="737460DD" w14:textId="77777777" w:rsidR="00B53505" w:rsidRPr="00B53505" w:rsidRDefault="00B53505" w:rsidP="00B53505">
      <w:pPr>
        <w:jc w:val="both"/>
        <w:rPr>
          <w:lang w:val="sl-SI"/>
        </w:rPr>
      </w:pPr>
      <w:r w:rsidRPr="00B53505">
        <w:rPr>
          <w:lang w:val="sl-SI"/>
        </w:rPr>
        <w:t xml:space="preserve">(4) Ministrstvo po uradni dolžnosti iz evidence iz prvega odstavka tega člena izbriše ponudnika storitev posredovanja podatkov, ki je ministrstvo obvestil o prenehanju opravljanja dejavnosti ali če mu je inšpektor za informacijsko družbo z dokončno odločbo prepovedal opravljanje dejavnosti. </w:t>
      </w:r>
    </w:p>
    <w:bookmarkEnd w:id="12"/>
    <w:p w14:paraId="52B4F5CC" w14:textId="77777777" w:rsidR="00B53505" w:rsidRPr="00B53505" w:rsidRDefault="00B53505" w:rsidP="00B53505">
      <w:pPr>
        <w:rPr>
          <w:lang w:val="sl-SI"/>
        </w:rPr>
      </w:pPr>
    </w:p>
    <w:p w14:paraId="0346622A" w14:textId="77777777" w:rsidR="00B53505" w:rsidRPr="00B53505" w:rsidRDefault="00B53505" w:rsidP="00B53505">
      <w:pPr>
        <w:rPr>
          <w:lang w:val="sl-SI"/>
        </w:rPr>
      </w:pPr>
    </w:p>
    <w:p w14:paraId="3E308A93" w14:textId="77777777" w:rsidR="00B53505" w:rsidRPr="00B53505" w:rsidRDefault="00B53505" w:rsidP="00B53505">
      <w:pPr>
        <w:suppressAutoHyphens/>
        <w:overflowPunct w:val="0"/>
        <w:autoSpaceDE w:val="0"/>
        <w:autoSpaceDN w:val="0"/>
        <w:adjustRightInd w:val="0"/>
        <w:spacing w:line="240" w:lineRule="auto"/>
        <w:jc w:val="center"/>
        <w:textAlignment w:val="baseline"/>
        <w:rPr>
          <w:rFonts w:cs="Arial"/>
          <w:b/>
          <w:szCs w:val="20"/>
          <w:lang w:val="sl-SI"/>
        </w:rPr>
      </w:pPr>
      <w:r w:rsidRPr="00B53505">
        <w:rPr>
          <w:rFonts w:cs="Arial"/>
          <w:b/>
          <w:szCs w:val="20"/>
          <w:lang w:val="sl-SI"/>
        </w:rPr>
        <w:t>IV. Podatkovni altruizem</w:t>
      </w:r>
    </w:p>
    <w:p w14:paraId="6740EE69" w14:textId="77777777" w:rsidR="00B53505" w:rsidRPr="00B53505" w:rsidRDefault="00B53505" w:rsidP="00B53505">
      <w:pPr>
        <w:suppressAutoHyphens/>
        <w:overflowPunct w:val="0"/>
        <w:autoSpaceDE w:val="0"/>
        <w:autoSpaceDN w:val="0"/>
        <w:adjustRightInd w:val="0"/>
        <w:spacing w:line="240" w:lineRule="auto"/>
        <w:jc w:val="center"/>
        <w:textAlignment w:val="baseline"/>
        <w:rPr>
          <w:rFonts w:cs="Arial"/>
          <w:b/>
          <w:szCs w:val="20"/>
          <w:lang w:val="sl-SI"/>
        </w:rPr>
      </w:pPr>
    </w:p>
    <w:p w14:paraId="41072E27" w14:textId="77777777" w:rsidR="00B53505" w:rsidRPr="00B53505" w:rsidRDefault="00B53505" w:rsidP="00B53505">
      <w:pPr>
        <w:suppressAutoHyphens/>
        <w:overflowPunct w:val="0"/>
        <w:autoSpaceDE w:val="0"/>
        <w:autoSpaceDN w:val="0"/>
        <w:adjustRightInd w:val="0"/>
        <w:spacing w:line="240" w:lineRule="auto"/>
        <w:jc w:val="center"/>
        <w:textAlignment w:val="baseline"/>
        <w:rPr>
          <w:rFonts w:cs="Arial"/>
          <w:b/>
          <w:szCs w:val="20"/>
          <w:lang w:val="sl-SI"/>
        </w:rPr>
      </w:pPr>
    </w:p>
    <w:p w14:paraId="4B82593F" w14:textId="77777777" w:rsidR="00B53505" w:rsidRPr="00B53505" w:rsidRDefault="00B53505" w:rsidP="00B53505">
      <w:pPr>
        <w:suppressAutoHyphens/>
        <w:overflowPunct w:val="0"/>
        <w:autoSpaceDE w:val="0"/>
        <w:autoSpaceDN w:val="0"/>
        <w:adjustRightInd w:val="0"/>
        <w:spacing w:line="240" w:lineRule="auto"/>
        <w:jc w:val="center"/>
        <w:textAlignment w:val="baseline"/>
        <w:rPr>
          <w:rFonts w:cs="Arial"/>
          <w:b/>
          <w:szCs w:val="20"/>
          <w:lang w:val="sl-SI"/>
        </w:rPr>
      </w:pPr>
      <w:r w:rsidRPr="00B53505">
        <w:rPr>
          <w:rFonts w:cs="Arial"/>
          <w:b/>
          <w:szCs w:val="20"/>
          <w:lang w:val="sl-SI"/>
        </w:rPr>
        <w:t>13. člen</w:t>
      </w:r>
    </w:p>
    <w:p w14:paraId="62A69FE0" w14:textId="77777777" w:rsidR="00B53505" w:rsidRPr="00B53505" w:rsidRDefault="00B53505" w:rsidP="00B53505">
      <w:pPr>
        <w:suppressAutoHyphens/>
        <w:overflowPunct w:val="0"/>
        <w:autoSpaceDE w:val="0"/>
        <w:autoSpaceDN w:val="0"/>
        <w:adjustRightInd w:val="0"/>
        <w:spacing w:line="240" w:lineRule="auto"/>
        <w:jc w:val="center"/>
        <w:textAlignment w:val="baseline"/>
        <w:rPr>
          <w:rFonts w:cs="Arial"/>
          <w:b/>
          <w:szCs w:val="20"/>
          <w:lang w:val="sl-SI"/>
        </w:rPr>
      </w:pPr>
      <w:r w:rsidRPr="00B53505">
        <w:rPr>
          <w:rFonts w:cs="Arial"/>
          <w:b/>
          <w:szCs w:val="20"/>
          <w:lang w:val="sl-SI"/>
        </w:rPr>
        <w:t>(pristojni organ)</w:t>
      </w:r>
    </w:p>
    <w:p w14:paraId="2D5033FC" w14:textId="77777777" w:rsidR="00B53505" w:rsidRPr="00B53505" w:rsidRDefault="00B53505" w:rsidP="00B53505">
      <w:pPr>
        <w:rPr>
          <w:lang w:val="sl-SI"/>
        </w:rPr>
      </w:pPr>
    </w:p>
    <w:p w14:paraId="78E71BB1" w14:textId="77777777" w:rsidR="00B53505" w:rsidRPr="00B53505" w:rsidRDefault="00B53505" w:rsidP="00B53505">
      <w:pPr>
        <w:jc w:val="both"/>
        <w:rPr>
          <w:rFonts w:cs="Arial"/>
          <w:szCs w:val="20"/>
          <w:lang w:val="sl-SI"/>
        </w:rPr>
      </w:pPr>
      <w:r w:rsidRPr="00B53505">
        <w:rPr>
          <w:lang w:val="sl-SI"/>
        </w:rPr>
        <w:t xml:space="preserve">Naloge pristojnega organa </w:t>
      </w:r>
      <w:r w:rsidRPr="00B53505">
        <w:rPr>
          <w:rFonts w:cs="Arial"/>
          <w:szCs w:val="20"/>
          <w:lang w:val="sl-SI"/>
        </w:rPr>
        <w:t xml:space="preserve">iz prvega odstavka 23. člena Uredbe 2022/868/EU izvaja ministrstvo, </w:t>
      </w:r>
      <w:bookmarkStart w:id="13" w:name="_Hlk157595629"/>
      <w:r w:rsidRPr="00B53505">
        <w:rPr>
          <w:rFonts w:cs="Arial"/>
          <w:szCs w:val="20"/>
          <w:lang w:val="sl-SI"/>
        </w:rPr>
        <w:t>pristojno za delovanje nevladnih organizacij.</w:t>
      </w:r>
      <w:bookmarkEnd w:id="13"/>
    </w:p>
    <w:p w14:paraId="551E4AA3" w14:textId="77777777" w:rsidR="00B53505" w:rsidRPr="00B53505" w:rsidRDefault="00B53505" w:rsidP="00B53505">
      <w:pPr>
        <w:jc w:val="both"/>
        <w:rPr>
          <w:rFonts w:cs="Arial"/>
          <w:szCs w:val="20"/>
          <w:lang w:val="sl-SI"/>
        </w:rPr>
      </w:pPr>
    </w:p>
    <w:p w14:paraId="06223A71" w14:textId="77777777" w:rsidR="00B53505" w:rsidRPr="00B53505" w:rsidRDefault="00B53505" w:rsidP="00B53505">
      <w:pPr>
        <w:jc w:val="both"/>
        <w:rPr>
          <w:rFonts w:cs="Arial"/>
          <w:szCs w:val="20"/>
          <w:lang w:val="sl-SI"/>
        </w:rPr>
      </w:pPr>
    </w:p>
    <w:p w14:paraId="6A28B1C0" w14:textId="77777777" w:rsidR="00B53505" w:rsidRPr="00B53505" w:rsidRDefault="00B53505" w:rsidP="00B53505">
      <w:pPr>
        <w:suppressAutoHyphens/>
        <w:overflowPunct w:val="0"/>
        <w:autoSpaceDE w:val="0"/>
        <w:autoSpaceDN w:val="0"/>
        <w:adjustRightInd w:val="0"/>
        <w:spacing w:line="240" w:lineRule="auto"/>
        <w:jc w:val="center"/>
        <w:textAlignment w:val="baseline"/>
        <w:rPr>
          <w:rFonts w:cs="Arial"/>
          <w:b/>
          <w:szCs w:val="20"/>
          <w:lang w:val="sl-SI"/>
        </w:rPr>
      </w:pPr>
      <w:r w:rsidRPr="00B53505">
        <w:rPr>
          <w:rFonts w:cs="Arial"/>
          <w:b/>
          <w:szCs w:val="20"/>
          <w:lang w:val="sl-SI"/>
        </w:rPr>
        <w:t>14. člen</w:t>
      </w:r>
    </w:p>
    <w:p w14:paraId="36381580" w14:textId="77777777" w:rsidR="00B53505" w:rsidRPr="00B53505" w:rsidRDefault="00B53505" w:rsidP="00B53505">
      <w:pPr>
        <w:suppressAutoHyphens/>
        <w:overflowPunct w:val="0"/>
        <w:autoSpaceDE w:val="0"/>
        <w:autoSpaceDN w:val="0"/>
        <w:adjustRightInd w:val="0"/>
        <w:spacing w:line="240" w:lineRule="auto"/>
        <w:jc w:val="center"/>
        <w:textAlignment w:val="baseline"/>
        <w:rPr>
          <w:rFonts w:cs="Arial"/>
          <w:b/>
          <w:szCs w:val="20"/>
          <w:lang w:val="sl-SI"/>
        </w:rPr>
      </w:pPr>
      <w:r w:rsidRPr="00B53505">
        <w:rPr>
          <w:rFonts w:cs="Arial"/>
          <w:b/>
          <w:szCs w:val="20"/>
          <w:lang w:val="sl-SI"/>
        </w:rPr>
        <w:t>(uporaba drugih predpisov)</w:t>
      </w:r>
    </w:p>
    <w:p w14:paraId="209DA7EB" w14:textId="77777777" w:rsidR="00B53505" w:rsidRPr="00B53505" w:rsidRDefault="00B53505" w:rsidP="00B53505">
      <w:pPr>
        <w:suppressAutoHyphens/>
        <w:overflowPunct w:val="0"/>
        <w:autoSpaceDE w:val="0"/>
        <w:autoSpaceDN w:val="0"/>
        <w:adjustRightInd w:val="0"/>
        <w:spacing w:line="240" w:lineRule="auto"/>
        <w:jc w:val="center"/>
        <w:textAlignment w:val="baseline"/>
        <w:rPr>
          <w:rFonts w:cs="Arial"/>
          <w:b/>
          <w:szCs w:val="20"/>
          <w:lang w:val="sl-SI"/>
        </w:rPr>
      </w:pPr>
    </w:p>
    <w:p w14:paraId="5B3FA2BC" w14:textId="77777777" w:rsidR="00B53505" w:rsidRPr="00B53505" w:rsidRDefault="00B53505" w:rsidP="00B53505">
      <w:pPr>
        <w:pStyle w:val="Odstavekseznama"/>
        <w:ind w:left="0"/>
        <w:jc w:val="both"/>
        <w:rPr>
          <w:szCs w:val="20"/>
          <w:lang w:val="sl-SI"/>
        </w:rPr>
      </w:pPr>
      <w:r w:rsidRPr="00B53505">
        <w:rPr>
          <w:szCs w:val="20"/>
          <w:lang w:val="sl-SI"/>
        </w:rPr>
        <w:t xml:space="preserve">Pristojni organ iz prejšnjega člena vodi postopek po zakonu, ki ureja splošni upravni postopek, če Uredba 2022/868/EU in ta zakon ne določata drugače, </w:t>
      </w:r>
      <w:r w:rsidRPr="00B53505">
        <w:rPr>
          <w:lang w:val="sl-SI"/>
        </w:rPr>
        <w:t>v roku, določenem z Uredbo 2022/868/EU</w:t>
      </w:r>
      <w:r w:rsidRPr="00B53505">
        <w:rPr>
          <w:szCs w:val="20"/>
          <w:lang w:val="sl-SI"/>
        </w:rPr>
        <w:t>.</w:t>
      </w:r>
    </w:p>
    <w:p w14:paraId="3352E143" w14:textId="77777777" w:rsidR="00B53505" w:rsidRPr="00B53505" w:rsidRDefault="00B53505" w:rsidP="00B53505">
      <w:pPr>
        <w:pStyle w:val="Odstavekseznama"/>
        <w:ind w:left="0"/>
        <w:jc w:val="both"/>
        <w:rPr>
          <w:lang w:val="sl-SI"/>
        </w:rPr>
      </w:pPr>
    </w:p>
    <w:p w14:paraId="0D988E73" w14:textId="77777777" w:rsidR="00B53505" w:rsidRPr="00B53505" w:rsidRDefault="00B53505" w:rsidP="00B53505">
      <w:pPr>
        <w:pStyle w:val="Odstavekseznama"/>
        <w:ind w:left="0"/>
        <w:jc w:val="both"/>
        <w:rPr>
          <w:szCs w:val="20"/>
          <w:lang w:val="sl-SI"/>
        </w:rPr>
      </w:pPr>
    </w:p>
    <w:p w14:paraId="309D93B7" w14:textId="77777777" w:rsidR="00B53505" w:rsidRPr="00B53505" w:rsidRDefault="00B53505" w:rsidP="00B53505">
      <w:pPr>
        <w:suppressAutoHyphens/>
        <w:overflowPunct w:val="0"/>
        <w:autoSpaceDE w:val="0"/>
        <w:autoSpaceDN w:val="0"/>
        <w:adjustRightInd w:val="0"/>
        <w:spacing w:line="240" w:lineRule="auto"/>
        <w:jc w:val="center"/>
        <w:textAlignment w:val="baseline"/>
        <w:rPr>
          <w:rFonts w:cs="Arial"/>
          <w:b/>
          <w:szCs w:val="20"/>
          <w:lang w:val="sl-SI"/>
        </w:rPr>
      </w:pPr>
      <w:r w:rsidRPr="00B53505">
        <w:rPr>
          <w:rFonts w:cs="Arial"/>
          <w:b/>
          <w:szCs w:val="20"/>
          <w:lang w:val="sl-SI"/>
        </w:rPr>
        <w:t>15. člen</w:t>
      </w:r>
    </w:p>
    <w:p w14:paraId="2838A754" w14:textId="77777777" w:rsidR="00B53505" w:rsidRPr="00B53505" w:rsidRDefault="00B53505" w:rsidP="00B53505">
      <w:pPr>
        <w:suppressAutoHyphens/>
        <w:overflowPunct w:val="0"/>
        <w:autoSpaceDE w:val="0"/>
        <w:autoSpaceDN w:val="0"/>
        <w:adjustRightInd w:val="0"/>
        <w:spacing w:line="240" w:lineRule="auto"/>
        <w:jc w:val="center"/>
        <w:textAlignment w:val="baseline"/>
        <w:rPr>
          <w:rFonts w:cs="Arial"/>
          <w:b/>
          <w:szCs w:val="20"/>
          <w:lang w:val="sl-SI"/>
        </w:rPr>
      </w:pPr>
      <w:r w:rsidRPr="00B53505">
        <w:rPr>
          <w:rFonts w:cs="Arial"/>
          <w:b/>
          <w:szCs w:val="20"/>
          <w:lang w:val="sl-SI"/>
        </w:rPr>
        <w:t>(registracija priznanih organizacij za podatkovni altruizem)</w:t>
      </w:r>
    </w:p>
    <w:p w14:paraId="2077FECF" w14:textId="77777777" w:rsidR="00B53505" w:rsidRPr="00B53505" w:rsidRDefault="00B53505" w:rsidP="00B53505">
      <w:pPr>
        <w:pStyle w:val="Odstavekseznama"/>
        <w:ind w:left="0"/>
        <w:jc w:val="both"/>
        <w:rPr>
          <w:lang w:val="sl-SI"/>
        </w:rPr>
      </w:pPr>
    </w:p>
    <w:p w14:paraId="36771501" w14:textId="77777777" w:rsidR="00B53505" w:rsidRPr="00B53505" w:rsidRDefault="00B53505" w:rsidP="00B53505">
      <w:pPr>
        <w:pStyle w:val="Odstavekseznama"/>
        <w:ind w:left="0"/>
        <w:jc w:val="both"/>
        <w:rPr>
          <w:lang w:val="sl-SI"/>
        </w:rPr>
      </w:pPr>
      <w:r w:rsidRPr="00B53505">
        <w:rPr>
          <w:lang w:val="sl-SI"/>
        </w:rPr>
        <w:t xml:space="preserve">(1) </w:t>
      </w:r>
      <w:r w:rsidRPr="00B53505">
        <w:rPr>
          <w:szCs w:val="20"/>
          <w:lang w:val="sl-SI"/>
        </w:rPr>
        <w:t xml:space="preserve">Pravna oseba, ki izpolnjuje pogoje iz 18. člena Uredbe 2022/868/EU, se </w:t>
      </w:r>
      <w:r w:rsidRPr="00B53505">
        <w:rPr>
          <w:lang w:val="sl-SI"/>
        </w:rPr>
        <w:t xml:space="preserve">registrira pri </w:t>
      </w:r>
      <w:r w:rsidRPr="00B53505">
        <w:rPr>
          <w:szCs w:val="20"/>
          <w:lang w:val="sl-SI"/>
        </w:rPr>
        <w:t>pristojnem organu iz 13. člena tega zakona kot priznana organizacija za podatkovni altruizem</w:t>
      </w:r>
      <w:r w:rsidRPr="00B53505">
        <w:rPr>
          <w:lang w:val="sl-SI"/>
        </w:rPr>
        <w:t xml:space="preserve"> z vlogo, ki vsebuje sestavine, določene z zakonom, ki ureja splošni upravni postopek, in sestavine, ki jih določa četrti odstavek 19. člena Uredbe 2022/868/EU.</w:t>
      </w:r>
    </w:p>
    <w:p w14:paraId="116D9DFC" w14:textId="77777777" w:rsidR="00B53505" w:rsidRPr="00B53505" w:rsidRDefault="00B53505" w:rsidP="00B53505">
      <w:pPr>
        <w:pStyle w:val="Odstavekseznama"/>
        <w:ind w:left="0"/>
        <w:jc w:val="both"/>
        <w:rPr>
          <w:lang w:val="sl-SI"/>
        </w:rPr>
      </w:pPr>
    </w:p>
    <w:p w14:paraId="35527F20" w14:textId="77777777" w:rsidR="00B53505" w:rsidRPr="00B53505" w:rsidRDefault="00B53505" w:rsidP="00B53505">
      <w:pPr>
        <w:pStyle w:val="Odstavekseznama"/>
        <w:ind w:left="0"/>
        <w:jc w:val="both"/>
        <w:rPr>
          <w:lang w:val="sl-SI"/>
        </w:rPr>
      </w:pPr>
      <w:r w:rsidRPr="00B53505">
        <w:rPr>
          <w:lang w:val="sl-SI"/>
        </w:rPr>
        <w:t>(2) Pristojni organ iz 13. člena tega zakona na podlagi vloge iz prejšnjega odstavka izda odločbo iz petega odstavka 19. člena Uredbe 2022/868/EU.</w:t>
      </w:r>
    </w:p>
    <w:p w14:paraId="38E3B967" w14:textId="77777777" w:rsidR="00B53505" w:rsidRPr="00B53505" w:rsidRDefault="00B53505" w:rsidP="00B53505">
      <w:pPr>
        <w:pStyle w:val="Odstavekseznama"/>
        <w:ind w:left="0"/>
        <w:jc w:val="both"/>
        <w:rPr>
          <w:lang w:val="sl-SI"/>
        </w:rPr>
      </w:pPr>
    </w:p>
    <w:p w14:paraId="134C88E6" w14:textId="77777777" w:rsidR="00B53505" w:rsidRPr="00B53505" w:rsidRDefault="00B53505" w:rsidP="00B53505">
      <w:pPr>
        <w:pStyle w:val="Odstavekseznama"/>
        <w:ind w:left="0"/>
        <w:jc w:val="both"/>
        <w:rPr>
          <w:lang w:val="sl-SI"/>
        </w:rPr>
      </w:pPr>
      <w:r w:rsidRPr="00B53505">
        <w:rPr>
          <w:lang w:val="sl-SI"/>
        </w:rPr>
        <w:t>(3) Pristojni organ iz 13. člena tega zakona vodi uradno evidenco priznanih organizacij za podatkovni altruizem, ki vsebuje podatke iz šestega odstavka 19. člena Uredbe 2022/868/EU, in jo javno objavi.</w:t>
      </w:r>
    </w:p>
    <w:p w14:paraId="7A2CA948" w14:textId="77777777" w:rsidR="00B53505" w:rsidRPr="00B53505" w:rsidRDefault="00B53505" w:rsidP="00B53505">
      <w:pPr>
        <w:pStyle w:val="Odstavekseznama"/>
        <w:ind w:left="0"/>
        <w:jc w:val="both"/>
        <w:rPr>
          <w:lang w:val="sl-SI"/>
        </w:rPr>
      </w:pPr>
    </w:p>
    <w:p w14:paraId="1E67252C" w14:textId="77777777" w:rsidR="00B53505" w:rsidRPr="00B53505" w:rsidRDefault="00B53505" w:rsidP="00B53505">
      <w:pPr>
        <w:pStyle w:val="Odstavekseznama"/>
        <w:ind w:left="0"/>
        <w:jc w:val="both"/>
        <w:rPr>
          <w:lang w:val="sl-SI"/>
        </w:rPr>
      </w:pPr>
      <w:r w:rsidRPr="00B53505">
        <w:rPr>
          <w:lang w:val="sl-SI"/>
        </w:rPr>
        <w:t xml:space="preserve">(4) Pristojni organ iz 13. člena tega zakona priznano organizacijo za podatkovni altruizem izbriše iz evidence iz prejšnjega odstavka, če ji je inšpektor za informacijsko družbo z dokončno odločbo prepovedal opravljanje dejavnosti. </w:t>
      </w:r>
    </w:p>
    <w:p w14:paraId="7609BFC1" w14:textId="77777777" w:rsidR="00B53505" w:rsidRPr="00B53505" w:rsidRDefault="00B53505" w:rsidP="00B53505">
      <w:pPr>
        <w:pStyle w:val="Odstavekseznama"/>
        <w:ind w:left="0"/>
        <w:jc w:val="both"/>
        <w:rPr>
          <w:lang w:val="sl-SI"/>
        </w:rPr>
      </w:pPr>
    </w:p>
    <w:p w14:paraId="6F0E46D9" w14:textId="77777777" w:rsidR="00B53505" w:rsidRPr="00B53505" w:rsidRDefault="00B53505" w:rsidP="00B53505">
      <w:pPr>
        <w:rPr>
          <w:lang w:val="sl-SI"/>
        </w:rPr>
      </w:pPr>
    </w:p>
    <w:p w14:paraId="11C0D6DD" w14:textId="77777777" w:rsidR="00B53505" w:rsidRPr="00B53505" w:rsidRDefault="00B53505" w:rsidP="00B53505">
      <w:pPr>
        <w:suppressAutoHyphens/>
        <w:overflowPunct w:val="0"/>
        <w:autoSpaceDE w:val="0"/>
        <w:autoSpaceDN w:val="0"/>
        <w:adjustRightInd w:val="0"/>
        <w:spacing w:line="240" w:lineRule="auto"/>
        <w:jc w:val="center"/>
        <w:textAlignment w:val="baseline"/>
        <w:rPr>
          <w:rFonts w:cs="Arial"/>
          <w:b/>
          <w:szCs w:val="20"/>
          <w:lang w:val="sl-SI"/>
        </w:rPr>
      </w:pPr>
      <w:r w:rsidRPr="00B53505">
        <w:rPr>
          <w:rFonts w:cs="Arial"/>
          <w:b/>
          <w:szCs w:val="20"/>
          <w:lang w:val="sl-SI"/>
        </w:rPr>
        <w:t>V. Nadzor</w:t>
      </w:r>
    </w:p>
    <w:p w14:paraId="2DFFA2A5" w14:textId="77777777" w:rsidR="00B53505" w:rsidRPr="00B53505" w:rsidRDefault="00B53505" w:rsidP="00B53505">
      <w:pPr>
        <w:suppressAutoHyphens/>
        <w:overflowPunct w:val="0"/>
        <w:autoSpaceDE w:val="0"/>
        <w:autoSpaceDN w:val="0"/>
        <w:adjustRightInd w:val="0"/>
        <w:spacing w:line="240" w:lineRule="auto"/>
        <w:jc w:val="center"/>
        <w:textAlignment w:val="baseline"/>
        <w:rPr>
          <w:rFonts w:cs="Arial"/>
          <w:b/>
          <w:szCs w:val="20"/>
          <w:lang w:val="sl-SI"/>
        </w:rPr>
      </w:pPr>
    </w:p>
    <w:p w14:paraId="430F5CEC" w14:textId="77777777" w:rsidR="00B53505" w:rsidRPr="00B53505" w:rsidRDefault="00B53505" w:rsidP="00B53505">
      <w:pPr>
        <w:suppressAutoHyphens/>
        <w:overflowPunct w:val="0"/>
        <w:autoSpaceDE w:val="0"/>
        <w:autoSpaceDN w:val="0"/>
        <w:adjustRightInd w:val="0"/>
        <w:spacing w:line="240" w:lineRule="auto"/>
        <w:jc w:val="center"/>
        <w:textAlignment w:val="baseline"/>
        <w:rPr>
          <w:rFonts w:cs="Arial"/>
          <w:b/>
          <w:szCs w:val="20"/>
          <w:lang w:val="sl-SI"/>
        </w:rPr>
      </w:pPr>
    </w:p>
    <w:p w14:paraId="3F6CA06D" w14:textId="77777777" w:rsidR="00B53505" w:rsidRPr="00B53505" w:rsidRDefault="00B53505" w:rsidP="00B53505">
      <w:pPr>
        <w:suppressAutoHyphens/>
        <w:overflowPunct w:val="0"/>
        <w:autoSpaceDE w:val="0"/>
        <w:autoSpaceDN w:val="0"/>
        <w:adjustRightInd w:val="0"/>
        <w:spacing w:line="240" w:lineRule="auto"/>
        <w:jc w:val="center"/>
        <w:textAlignment w:val="baseline"/>
        <w:rPr>
          <w:rFonts w:cs="Arial"/>
          <w:b/>
          <w:szCs w:val="20"/>
          <w:lang w:val="sl-SI"/>
        </w:rPr>
      </w:pPr>
      <w:r w:rsidRPr="00B53505">
        <w:rPr>
          <w:rFonts w:cs="Arial"/>
          <w:b/>
          <w:szCs w:val="20"/>
          <w:lang w:val="sl-SI"/>
        </w:rPr>
        <w:t xml:space="preserve">16. člen </w:t>
      </w:r>
    </w:p>
    <w:p w14:paraId="45535582" w14:textId="77777777" w:rsidR="00B53505" w:rsidRPr="00B53505" w:rsidRDefault="00B53505" w:rsidP="00B53505">
      <w:pPr>
        <w:suppressAutoHyphens/>
        <w:overflowPunct w:val="0"/>
        <w:autoSpaceDE w:val="0"/>
        <w:autoSpaceDN w:val="0"/>
        <w:adjustRightInd w:val="0"/>
        <w:spacing w:line="240" w:lineRule="auto"/>
        <w:jc w:val="center"/>
        <w:textAlignment w:val="baseline"/>
        <w:rPr>
          <w:rFonts w:cs="Arial"/>
          <w:b/>
          <w:szCs w:val="20"/>
          <w:lang w:val="sl-SI"/>
        </w:rPr>
      </w:pPr>
      <w:r w:rsidRPr="00B53505">
        <w:rPr>
          <w:rFonts w:cs="Arial"/>
          <w:b/>
          <w:szCs w:val="20"/>
          <w:lang w:val="sl-SI"/>
        </w:rPr>
        <w:t>(nadzor)</w:t>
      </w:r>
    </w:p>
    <w:p w14:paraId="290422E3" w14:textId="77777777" w:rsidR="00B53505" w:rsidRPr="00B53505" w:rsidRDefault="00B53505" w:rsidP="00B53505">
      <w:pPr>
        <w:suppressAutoHyphens/>
        <w:overflowPunct w:val="0"/>
        <w:autoSpaceDE w:val="0"/>
        <w:autoSpaceDN w:val="0"/>
        <w:adjustRightInd w:val="0"/>
        <w:spacing w:line="240" w:lineRule="auto"/>
        <w:jc w:val="center"/>
        <w:textAlignment w:val="baseline"/>
        <w:rPr>
          <w:rFonts w:cs="Arial"/>
          <w:b/>
          <w:szCs w:val="20"/>
          <w:lang w:val="sl-SI"/>
        </w:rPr>
      </w:pPr>
    </w:p>
    <w:p w14:paraId="1EBB1CF5" w14:textId="77777777" w:rsidR="00B53505" w:rsidRPr="00B53505" w:rsidRDefault="00B53505" w:rsidP="00B53505">
      <w:pPr>
        <w:jc w:val="both"/>
        <w:rPr>
          <w:rFonts w:cs="Arial"/>
          <w:szCs w:val="20"/>
          <w:lang w:val="sl-SI"/>
        </w:rPr>
      </w:pPr>
      <w:bookmarkStart w:id="14" w:name="_Hlk157599233"/>
      <w:r w:rsidRPr="00B53505">
        <w:rPr>
          <w:rFonts w:cs="Arial"/>
          <w:szCs w:val="20"/>
          <w:lang w:val="sl-SI"/>
        </w:rPr>
        <w:t xml:space="preserve">(1) Nadzor nad izvajanjem Uredbe 2022/868/EU, </w:t>
      </w:r>
      <w:bookmarkStart w:id="15" w:name="_Hlk157516593"/>
      <w:r w:rsidRPr="00B53505">
        <w:rPr>
          <w:rFonts w:cs="Arial"/>
          <w:szCs w:val="20"/>
          <w:lang w:val="sl-SI"/>
        </w:rPr>
        <w:t>delegiranih aktov, sprejetih na podlagi Uredbe 2022/868/EU, in tega zakona izvaja inšpekcija za informacijsko družbo</w:t>
      </w:r>
      <w:bookmarkEnd w:id="15"/>
      <w:r w:rsidRPr="00B53505">
        <w:rPr>
          <w:rFonts w:cs="Arial"/>
          <w:szCs w:val="20"/>
          <w:lang w:val="sl-SI"/>
        </w:rPr>
        <w:t>.</w:t>
      </w:r>
    </w:p>
    <w:p w14:paraId="0B52A937" w14:textId="77777777" w:rsidR="00B53505" w:rsidRPr="00B53505" w:rsidRDefault="00B53505" w:rsidP="00B53505">
      <w:pPr>
        <w:jc w:val="both"/>
        <w:rPr>
          <w:rFonts w:cs="Arial"/>
          <w:szCs w:val="20"/>
          <w:lang w:val="sl-SI"/>
        </w:rPr>
      </w:pPr>
    </w:p>
    <w:p w14:paraId="7D325E05" w14:textId="77777777" w:rsidR="00B53505" w:rsidRPr="00B53505" w:rsidRDefault="00B53505" w:rsidP="00B53505">
      <w:pPr>
        <w:pStyle w:val="Odstavekseznama"/>
        <w:ind w:left="0"/>
        <w:jc w:val="both"/>
        <w:rPr>
          <w:szCs w:val="20"/>
          <w:lang w:val="sl-SI"/>
        </w:rPr>
      </w:pPr>
      <w:r w:rsidRPr="00B53505">
        <w:rPr>
          <w:szCs w:val="20"/>
          <w:lang w:val="sl-SI"/>
        </w:rPr>
        <w:t>(2) Če inšpektor za informacijsko družbo z odločbo prepove opravljanje dejavnosti ponudniku storitev posredovanja podatkov ali priznani organizaciji za podatkovni altruizem, o tem obvesti ustrezni pristojni organ iz 10. ali 13. člena tega zakona.</w:t>
      </w:r>
    </w:p>
    <w:bookmarkEnd w:id="14"/>
    <w:p w14:paraId="104DEB1E" w14:textId="77777777" w:rsidR="00B53505" w:rsidRPr="00B53505" w:rsidRDefault="00B53505" w:rsidP="00B53505">
      <w:pPr>
        <w:jc w:val="both"/>
        <w:rPr>
          <w:rFonts w:cs="Arial"/>
          <w:szCs w:val="20"/>
          <w:lang w:val="sl-SI"/>
        </w:rPr>
      </w:pPr>
    </w:p>
    <w:p w14:paraId="184196C6" w14:textId="77777777" w:rsidR="00B53505" w:rsidRPr="00B53505" w:rsidRDefault="00B53505" w:rsidP="00B53505">
      <w:pPr>
        <w:jc w:val="both"/>
        <w:rPr>
          <w:rFonts w:cs="Arial"/>
          <w:szCs w:val="20"/>
          <w:lang w:val="sl-SI"/>
        </w:rPr>
      </w:pPr>
    </w:p>
    <w:p w14:paraId="2741D83D" w14:textId="77777777" w:rsidR="00B53505" w:rsidRPr="00B53505" w:rsidRDefault="00B53505" w:rsidP="00B53505">
      <w:pPr>
        <w:suppressAutoHyphens/>
        <w:overflowPunct w:val="0"/>
        <w:autoSpaceDE w:val="0"/>
        <w:autoSpaceDN w:val="0"/>
        <w:adjustRightInd w:val="0"/>
        <w:spacing w:line="240" w:lineRule="auto"/>
        <w:jc w:val="center"/>
        <w:textAlignment w:val="baseline"/>
        <w:rPr>
          <w:rFonts w:cs="Arial"/>
          <w:b/>
          <w:szCs w:val="20"/>
          <w:lang w:val="sl-SI"/>
        </w:rPr>
      </w:pPr>
      <w:r w:rsidRPr="00B53505">
        <w:rPr>
          <w:rFonts w:cs="Arial"/>
          <w:b/>
          <w:szCs w:val="20"/>
          <w:lang w:val="sl-SI"/>
        </w:rPr>
        <w:t>VI. Kazenske določbe</w:t>
      </w:r>
    </w:p>
    <w:p w14:paraId="24115961" w14:textId="77777777" w:rsidR="00B53505" w:rsidRPr="00B53505" w:rsidRDefault="00B53505" w:rsidP="00B53505">
      <w:pPr>
        <w:overflowPunct w:val="0"/>
        <w:autoSpaceDE w:val="0"/>
        <w:autoSpaceDN w:val="0"/>
        <w:adjustRightInd w:val="0"/>
        <w:spacing w:line="240" w:lineRule="auto"/>
        <w:jc w:val="both"/>
        <w:textAlignment w:val="baseline"/>
        <w:rPr>
          <w:rFonts w:cs="Arial"/>
          <w:szCs w:val="20"/>
          <w:highlight w:val="yellow"/>
          <w:lang w:val="sl-SI"/>
        </w:rPr>
      </w:pPr>
    </w:p>
    <w:p w14:paraId="489EA113" w14:textId="77777777" w:rsidR="00B53505" w:rsidRPr="00B53505" w:rsidRDefault="00B53505" w:rsidP="00B53505">
      <w:pPr>
        <w:overflowPunct w:val="0"/>
        <w:autoSpaceDE w:val="0"/>
        <w:autoSpaceDN w:val="0"/>
        <w:adjustRightInd w:val="0"/>
        <w:spacing w:line="240" w:lineRule="auto"/>
        <w:jc w:val="both"/>
        <w:textAlignment w:val="baseline"/>
        <w:rPr>
          <w:rFonts w:cs="Arial"/>
          <w:szCs w:val="20"/>
          <w:highlight w:val="yellow"/>
          <w:lang w:val="sl-SI"/>
        </w:rPr>
      </w:pPr>
    </w:p>
    <w:p w14:paraId="089630A5" w14:textId="77777777" w:rsidR="00B53505" w:rsidRPr="00B53505" w:rsidRDefault="00B53505" w:rsidP="00B53505">
      <w:pPr>
        <w:suppressAutoHyphens/>
        <w:overflowPunct w:val="0"/>
        <w:autoSpaceDE w:val="0"/>
        <w:autoSpaceDN w:val="0"/>
        <w:adjustRightInd w:val="0"/>
        <w:spacing w:line="240" w:lineRule="auto"/>
        <w:jc w:val="center"/>
        <w:textAlignment w:val="baseline"/>
        <w:rPr>
          <w:rFonts w:cs="Arial"/>
          <w:b/>
          <w:szCs w:val="20"/>
          <w:lang w:val="sl-SI"/>
        </w:rPr>
      </w:pPr>
      <w:r w:rsidRPr="00B53505">
        <w:rPr>
          <w:rFonts w:cs="Arial"/>
          <w:b/>
          <w:szCs w:val="20"/>
          <w:lang w:val="sl-SI"/>
        </w:rPr>
        <w:t>17. člen</w:t>
      </w:r>
    </w:p>
    <w:p w14:paraId="04D4DC26" w14:textId="77777777" w:rsidR="00B53505" w:rsidRPr="00B53505" w:rsidRDefault="00B53505" w:rsidP="00B53505">
      <w:pPr>
        <w:suppressAutoHyphens/>
        <w:overflowPunct w:val="0"/>
        <w:autoSpaceDE w:val="0"/>
        <w:autoSpaceDN w:val="0"/>
        <w:adjustRightInd w:val="0"/>
        <w:spacing w:line="240" w:lineRule="auto"/>
        <w:jc w:val="center"/>
        <w:textAlignment w:val="baseline"/>
        <w:rPr>
          <w:rFonts w:cs="Arial"/>
          <w:b/>
          <w:szCs w:val="20"/>
          <w:lang w:val="sl-SI"/>
        </w:rPr>
      </w:pPr>
      <w:r w:rsidRPr="00B53505">
        <w:rPr>
          <w:rFonts w:cs="Arial"/>
          <w:b/>
          <w:szCs w:val="20"/>
          <w:lang w:val="sl-SI"/>
        </w:rPr>
        <w:t>(prekrški)</w:t>
      </w:r>
    </w:p>
    <w:p w14:paraId="750E45BD" w14:textId="77777777" w:rsidR="00B53505" w:rsidRPr="00B53505" w:rsidRDefault="00B53505" w:rsidP="00B53505">
      <w:pPr>
        <w:rPr>
          <w:lang w:val="sl-SI"/>
        </w:rPr>
      </w:pPr>
    </w:p>
    <w:p w14:paraId="3F965CBF" w14:textId="77777777" w:rsidR="00B53505" w:rsidRPr="00B53505" w:rsidRDefault="00B53505" w:rsidP="00B53505">
      <w:pPr>
        <w:pStyle w:val="Odstavekseznama"/>
        <w:ind w:left="0"/>
        <w:jc w:val="both"/>
        <w:rPr>
          <w:lang w:val="sl-SI"/>
        </w:rPr>
      </w:pPr>
      <w:r w:rsidRPr="00B53505">
        <w:rPr>
          <w:lang w:val="sl-SI"/>
        </w:rPr>
        <w:t>(1) Z globo od 4.500 do 60.000 eurov se za prekršek kaznuje pravna oseba, ki ji je bila podeljena pravica do ponovne uporabe neosebnih zaščitenih podatkov javnega sektorja in ki prenese podatke v tiste tretje države, za katere niso izpolnjene zahteve iz desetega, dvanajstega ali trinajstega odstavka 5. člena Uredbe 2022/868/EU (štirinajsti odstavek 5. člena Uredbe 2022/868/EU).</w:t>
      </w:r>
    </w:p>
    <w:p w14:paraId="0670D33F" w14:textId="77777777" w:rsidR="00B53505" w:rsidRPr="00B53505" w:rsidRDefault="00B53505" w:rsidP="00B53505">
      <w:pPr>
        <w:pStyle w:val="Odstavekseznama"/>
        <w:ind w:left="0"/>
        <w:jc w:val="both"/>
        <w:rPr>
          <w:lang w:val="sl-SI"/>
        </w:rPr>
      </w:pPr>
    </w:p>
    <w:p w14:paraId="3164D2C8" w14:textId="77777777" w:rsidR="00B53505" w:rsidRPr="00B53505" w:rsidRDefault="00B53505" w:rsidP="00B53505">
      <w:pPr>
        <w:pStyle w:val="Odstavekseznama"/>
        <w:ind w:left="0"/>
        <w:jc w:val="both"/>
        <w:rPr>
          <w:lang w:val="sl-SI"/>
        </w:rPr>
      </w:pPr>
      <w:bookmarkStart w:id="16" w:name="_Hlk157515580"/>
      <w:r w:rsidRPr="00B53505">
        <w:rPr>
          <w:lang w:val="sl-SI"/>
        </w:rPr>
        <w:t xml:space="preserve">(2) </w:t>
      </w:r>
      <w:bookmarkStart w:id="17" w:name="_Hlk168573352"/>
      <w:r w:rsidRPr="00B53505">
        <w:rPr>
          <w:lang w:val="sl-SI"/>
        </w:rPr>
        <w:t>Z globo od 4.500 do 60.000 eurov se za prekršek kaznuje pravna oseba, ki ji je bila podeljena pravica do ponovne uporabe zaščitenih podatkov javnega sektorja in ki ponovno uporabi zaščitene podatke javnega sektorja v nasprotju z namenom iz drugega odstavka 4. člena tega zakona.</w:t>
      </w:r>
      <w:bookmarkEnd w:id="17"/>
    </w:p>
    <w:p w14:paraId="03F713A8" w14:textId="77777777" w:rsidR="00B53505" w:rsidRPr="00B53505" w:rsidRDefault="00B53505" w:rsidP="00B53505">
      <w:pPr>
        <w:pStyle w:val="Odstavekseznama"/>
        <w:ind w:left="0"/>
        <w:jc w:val="both"/>
        <w:rPr>
          <w:lang w:val="sl-SI"/>
        </w:rPr>
      </w:pPr>
    </w:p>
    <w:p w14:paraId="38B9D512" w14:textId="77777777" w:rsidR="00B53505" w:rsidRPr="00B53505" w:rsidRDefault="00B53505" w:rsidP="00B53505">
      <w:pPr>
        <w:pStyle w:val="Odstavekseznama"/>
        <w:ind w:left="0"/>
        <w:jc w:val="both"/>
        <w:rPr>
          <w:lang w:val="sl-SI"/>
        </w:rPr>
      </w:pPr>
      <w:r w:rsidRPr="00B53505">
        <w:rPr>
          <w:lang w:val="sl-SI"/>
        </w:rPr>
        <w:t>(3) Z globo od 400 do 1.200 eurov se za prekršek iz prvega ali drugega odstavka tega člena kaznuje samostojni podjetnik ali posameznik, ki samostojno opravlja dejavnost.</w:t>
      </w:r>
    </w:p>
    <w:bookmarkEnd w:id="16"/>
    <w:p w14:paraId="4C2FE07D" w14:textId="77777777" w:rsidR="00B53505" w:rsidRPr="00B53505" w:rsidRDefault="00B53505" w:rsidP="00B53505">
      <w:pPr>
        <w:jc w:val="both"/>
        <w:rPr>
          <w:lang w:val="sl-SI"/>
        </w:rPr>
      </w:pPr>
    </w:p>
    <w:p w14:paraId="63C40A27" w14:textId="77777777" w:rsidR="00B53505" w:rsidRPr="00B53505" w:rsidRDefault="00B53505" w:rsidP="00B53505">
      <w:pPr>
        <w:pStyle w:val="Odstavekseznama"/>
        <w:ind w:left="0"/>
        <w:jc w:val="both"/>
        <w:rPr>
          <w:lang w:val="sl-SI"/>
        </w:rPr>
      </w:pPr>
      <w:r w:rsidRPr="00B53505">
        <w:rPr>
          <w:lang w:val="sl-SI"/>
        </w:rPr>
        <w:t>(4) Z globo od 400 do 6.000 eurov se za prekršek iz prvega in drugega odstavka tega člena kaznuje odgovorna oseba pravne osebe, odgovorna oseba samostojnega podjetnika posameznika oziroma posameznika, ki samostojno opravlja dejavnost, ter odgovorna oseba v državnem organu ali samoupravni lokalni skupnosti.</w:t>
      </w:r>
    </w:p>
    <w:p w14:paraId="72C665D6" w14:textId="77777777" w:rsidR="00B53505" w:rsidRPr="00B53505" w:rsidRDefault="00B53505" w:rsidP="00B53505">
      <w:pPr>
        <w:pStyle w:val="Odstavekseznama"/>
        <w:ind w:left="0"/>
        <w:jc w:val="both"/>
        <w:rPr>
          <w:lang w:val="sl-SI"/>
        </w:rPr>
      </w:pPr>
    </w:p>
    <w:p w14:paraId="403DC39F" w14:textId="77777777" w:rsidR="00B53505" w:rsidRPr="00B53505" w:rsidRDefault="00B53505" w:rsidP="00B53505">
      <w:pPr>
        <w:pStyle w:val="Odstavekseznama"/>
        <w:ind w:left="0"/>
        <w:jc w:val="both"/>
        <w:rPr>
          <w:lang w:val="sl-SI"/>
        </w:rPr>
      </w:pPr>
      <w:r w:rsidRPr="00B53505">
        <w:rPr>
          <w:lang w:val="sl-SI"/>
        </w:rPr>
        <w:t xml:space="preserve">(5) Z globo od 400 do 1.200 eurov se za prekršek iz prvega ali drugega odstavka tega člena kaznuje posameznik. </w:t>
      </w:r>
    </w:p>
    <w:p w14:paraId="1C866E6D" w14:textId="77777777" w:rsidR="00B53505" w:rsidRPr="00B53505" w:rsidRDefault="00B53505" w:rsidP="00B53505">
      <w:pPr>
        <w:jc w:val="both"/>
        <w:rPr>
          <w:lang w:val="sl-SI"/>
        </w:rPr>
      </w:pPr>
    </w:p>
    <w:p w14:paraId="6C46FFE5" w14:textId="77777777" w:rsidR="00B53505" w:rsidRPr="00B53505" w:rsidRDefault="00B53505" w:rsidP="00B53505">
      <w:pPr>
        <w:rPr>
          <w:lang w:val="sl-SI"/>
        </w:rPr>
      </w:pPr>
    </w:p>
    <w:p w14:paraId="7AD3EC26" w14:textId="77777777" w:rsidR="00B53505" w:rsidRPr="00B53505" w:rsidRDefault="00B53505" w:rsidP="00B53505">
      <w:pPr>
        <w:suppressAutoHyphens/>
        <w:overflowPunct w:val="0"/>
        <w:autoSpaceDE w:val="0"/>
        <w:autoSpaceDN w:val="0"/>
        <w:adjustRightInd w:val="0"/>
        <w:spacing w:line="240" w:lineRule="auto"/>
        <w:jc w:val="center"/>
        <w:textAlignment w:val="baseline"/>
        <w:rPr>
          <w:rFonts w:cs="Arial"/>
          <w:b/>
          <w:szCs w:val="20"/>
          <w:lang w:val="sl-SI"/>
        </w:rPr>
      </w:pPr>
      <w:r w:rsidRPr="00B53505">
        <w:rPr>
          <w:rFonts w:cs="Arial"/>
          <w:b/>
          <w:szCs w:val="20"/>
          <w:lang w:val="sl-SI"/>
        </w:rPr>
        <w:t>18. člen</w:t>
      </w:r>
    </w:p>
    <w:p w14:paraId="2F1766AA" w14:textId="77777777" w:rsidR="00B53505" w:rsidRPr="00B53505" w:rsidRDefault="00B53505" w:rsidP="00B53505">
      <w:pPr>
        <w:suppressAutoHyphens/>
        <w:overflowPunct w:val="0"/>
        <w:autoSpaceDE w:val="0"/>
        <w:autoSpaceDN w:val="0"/>
        <w:adjustRightInd w:val="0"/>
        <w:spacing w:line="240" w:lineRule="auto"/>
        <w:jc w:val="center"/>
        <w:textAlignment w:val="baseline"/>
        <w:rPr>
          <w:rFonts w:cs="Arial"/>
          <w:b/>
          <w:szCs w:val="20"/>
          <w:lang w:val="sl-SI"/>
        </w:rPr>
      </w:pPr>
      <w:r w:rsidRPr="00B53505">
        <w:rPr>
          <w:rFonts w:cs="Arial"/>
          <w:b/>
          <w:szCs w:val="20"/>
          <w:lang w:val="sl-SI"/>
        </w:rPr>
        <w:t>(prekrški)</w:t>
      </w:r>
    </w:p>
    <w:p w14:paraId="2FCA6126" w14:textId="77777777" w:rsidR="00B53505" w:rsidRPr="00B53505" w:rsidRDefault="00B53505" w:rsidP="00B53505">
      <w:pPr>
        <w:rPr>
          <w:lang w:val="sl-SI"/>
        </w:rPr>
      </w:pPr>
    </w:p>
    <w:p w14:paraId="01FDBD09" w14:textId="77777777" w:rsidR="00B53505" w:rsidRPr="00B53505" w:rsidRDefault="00B53505" w:rsidP="00B53505">
      <w:pPr>
        <w:pStyle w:val="Odstavekseznama"/>
        <w:ind w:left="0"/>
        <w:jc w:val="both"/>
        <w:rPr>
          <w:lang w:val="sl-SI"/>
        </w:rPr>
      </w:pPr>
      <w:r w:rsidRPr="00B53505">
        <w:rPr>
          <w:lang w:val="sl-SI"/>
        </w:rPr>
        <w:t>(1) Z globo od 4.500 do 60.000 eurov se za prekršek kaznuje pravna oseba, če:</w:t>
      </w:r>
    </w:p>
    <w:p w14:paraId="7E49A7A8" w14:textId="77777777" w:rsidR="00B53505" w:rsidRPr="00B53505" w:rsidRDefault="00B53505" w:rsidP="00B53505">
      <w:pPr>
        <w:pStyle w:val="Odstavekseznama"/>
        <w:numPr>
          <w:ilvl w:val="0"/>
          <w:numId w:val="34"/>
        </w:numPr>
        <w:spacing w:line="260" w:lineRule="atLeast"/>
        <w:contextualSpacing/>
        <w:jc w:val="both"/>
        <w:rPr>
          <w:lang w:val="sl-SI"/>
        </w:rPr>
      </w:pPr>
      <w:r w:rsidRPr="00B53505">
        <w:rPr>
          <w:lang w:val="sl-SI"/>
        </w:rPr>
        <w:t>opravlja storitve posredovanja podatkov brez priglasitve (prvi odstavek 11. člena Uredbe 2022/868/EU) ali brez izpolnjevanja pogojev iz Uredbe 2022/868/EU (četrti odstavek 11. člena Uredbe 2022/868/EU);</w:t>
      </w:r>
    </w:p>
    <w:p w14:paraId="6AB1CA5F" w14:textId="77777777" w:rsidR="00B53505" w:rsidRPr="00B53505" w:rsidRDefault="00B53505" w:rsidP="00B53505">
      <w:pPr>
        <w:pStyle w:val="Odstavekseznama"/>
        <w:numPr>
          <w:ilvl w:val="0"/>
          <w:numId w:val="34"/>
        </w:numPr>
        <w:spacing w:line="260" w:lineRule="atLeast"/>
        <w:contextualSpacing/>
        <w:jc w:val="both"/>
        <w:rPr>
          <w:lang w:val="sl-SI"/>
        </w:rPr>
      </w:pPr>
      <w:r w:rsidRPr="00B53505">
        <w:rPr>
          <w:lang w:val="sl-SI"/>
        </w:rPr>
        <w:t>ne imenuje zakonitega zastopnika v primeru, da nima sedeža v Evropski uniji (tretji odstavek 11. člena Uredbe 2022/868/EU);</w:t>
      </w:r>
    </w:p>
    <w:p w14:paraId="41AD9679" w14:textId="77777777" w:rsidR="00B53505" w:rsidRPr="00B53505" w:rsidRDefault="00B53505" w:rsidP="00B53505">
      <w:pPr>
        <w:pStyle w:val="Odstavekseznama"/>
        <w:numPr>
          <w:ilvl w:val="0"/>
          <w:numId w:val="34"/>
        </w:numPr>
        <w:spacing w:line="260" w:lineRule="atLeast"/>
        <w:contextualSpacing/>
        <w:jc w:val="both"/>
        <w:rPr>
          <w:lang w:val="sl-SI"/>
        </w:rPr>
      </w:pPr>
      <w:r w:rsidRPr="00B53505">
        <w:rPr>
          <w:lang w:val="sl-SI"/>
        </w:rPr>
        <w:t>uporablja v pisni in govorni komunikaciji naziv »ponudnik storitev posredovanja podatkov, priznan v Uniji« in skupni logotip brez dokončne odločbe iz tretjega odstavka 12. člena tega zakona (deveti odstavek 11. člena Uredbe 2022/868/EU);</w:t>
      </w:r>
    </w:p>
    <w:p w14:paraId="3B727261" w14:textId="77777777" w:rsidR="00B53505" w:rsidRPr="00B53505" w:rsidRDefault="00B53505" w:rsidP="00B53505">
      <w:pPr>
        <w:pStyle w:val="Odstavekseznama"/>
        <w:numPr>
          <w:ilvl w:val="0"/>
          <w:numId w:val="34"/>
        </w:numPr>
        <w:spacing w:line="260" w:lineRule="atLeast"/>
        <w:contextualSpacing/>
        <w:jc w:val="both"/>
        <w:rPr>
          <w:lang w:val="sl-SI"/>
        </w:rPr>
      </w:pPr>
      <w:r w:rsidRPr="00B53505">
        <w:rPr>
          <w:lang w:val="sl-SI"/>
        </w:rPr>
        <w:t>ne obvesti ministrstvo v roku o spremembah informacij iz šestega odstavka 11. člena Uredbe 2022/868/EU (dvanajsti odstavek 11. člena Uredbe 2022/868/EU) ali o prenehanju opravljanja dejavnosti (trinajsti odstavek 11. člena Uredbe 2022/868/EU);</w:t>
      </w:r>
    </w:p>
    <w:p w14:paraId="309AC596" w14:textId="77777777" w:rsidR="00B53505" w:rsidRPr="00B53505" w:rsidRDefault="00B53505" w:rsidP="00B53505">
      <w:pPr>
        <w:pStyle w:val="Odstavekseznama"/>
        <w:numPr>
          <w:ilvl w:val="0"/>
          <w:numId w:val="34"/>
        </w:numPr>
        <w:spacing w:line="260" w:lineRule="atLeast"/>
        <w:contextualSpacing/>
        <w:jc w:val="both"/>
        <w:rPr>
          <w:lang w:val="sl-SI"/>
        </w:rPr>
      </w:pPr>
      <w:r w:rsidRPr="00B53505">
        <w:rPr>
          <w:lang w:val="sl-SI"/>
        </w:rPr>
        <w:t>ravna v nasprotju z 12. členom Uredbe 2022/868/EU.</w:t>
      </w:r>
    </w:p>
    <w:p w14:paraId="3C9AD6DF" w14:textId="77777777" w:rsidR="00B53505" w:rsidRPr="00B53505" w:rsidRDefault="00B53505" w:rsidP="00B53505">
      <w:pPr>
        <w:jc w:val="both"/>
        <w:rPr>
          <w:lang w:val="sl-SI"/>
        </w:rPr>
      </w:pPr>
    </w:p>
    <w:p w14:paraId="1B31F883" w14:textId="77777777" w:rsidR="00B53505" w:rsidRPr="00B53505" w:rsidRDefault="00B53505" w:rsidP="00B53505">
      <w:pPr>
        <w:pStyle w:val="Odstavekseznama"/>
        <w:ind w:left="0"/>
        <w:jc w:val="both"/>
        <w:rPr>
          <w:lang w:val="sl-SI"/>
        </w:rPr>
      </w:pPr>
      <w:r w:rsidRPr="00B53505">
        <w:rPr>
          <w:lang w:val="sl-SI"/>
        </w:rPr>
        <w:t>(2) Z globo od 400 do 1.200 eurov se za prekrške iz prvega odstavka tega člena kaznuje samostojni podjetnik ali posameznik, ki samostojno opravlja dejavnost.</w:t>
      </w:r>
    </w:p>
    <w:p w14:paraId="671788B6" w14:textId="77777777" w:rsidR="00B53505" w:rsidRPr="00B53505" w:rsidRDefault="00B53505" w:rsidP="00B53505">
      <w:pPr>
        <w:pStyle w:val="Odstavekseznama"/>
        <w:ind w:left="0"/>
        <w:jc w:val="both"/>
        <w:rPr>
          <w:lang w:val="sl-SI"/>
        </w:rPr>
      </w:pPr>
    </w:p>
    <w:p w14:paraId="0CE4A721" w14:textId="77777777" w:rsidR="00B53505" w:rsidRPr="00B53505" w:rsidRDefault="00B53505" w:rsidP="00B53505">
      <w:pPr>
        <w:pStyle w:val="Odstavekseznama"/>
        <w:ind w:left="0"/>
        <w:jc w:val="both"/>
        <w:rPr>
          <w:lang w:val="sl-SI"/>
        </w:rPr>
      </w:pPr>
      <w:r w:rsidRPr="00B53505">
        <w:rPr>
          <w:lang w:val="sl-SI"/>
        </w:rPr>
        <w:t>(3) Z globo od 400 do 6.000 eurov se za prekršek iz prejšnjega odstavka kaznuje odgovorna oseba pravne osebe, odgovorna oseba samostojnega podjetnika posameznika oziroma posameznika, ki samostojno opravlja dejavnost.</w:t>
      </w:r>
    </w:p>
    <w:p w14:paraId="3AEC5DE0" w14:textId="77777777" w:rsidR="00B53505" w:rsidRPr="00B53505" w:rsidRDefault="00B53505" w:rsidP="00B53505">
      <w:pPr>
        <w:jc w:val="both"/>
        <w:rPr>
          <w:lang w:val="sl-SI"/>
        </w:rPr>
      </w:pPr>
    </w:p>
    <w:p w14:paraId="18DA3FC1" w14:textId="77777777" w:rsidR="00B53505" w:rsidRPr="00B53505" w:rsidRDefault="00B53505" w:rsidP="00B53505">
      <w:pPr>
        <w:pStyle w:val="Odstavekseznama"/>
        <w:ind w:left="0"/>
        <w:jc w:val="both"/>
        <w:rPr>
          <w:lang w:val="sl-SI"/>
        </w:rPr>
      </w:pPr>
      <w:r w:rsidRPr="00B53505">
        <w:rPr>
          <w:lang w:val="sl-SI"/>
        </w:rPr>
        <w:t xml:space="preserve">(4) Z globo od 400 do 1.200 eurov se za prekršek iz prvega ali drugega odstavka tega člena kaznuje posameznik. </w:t>
      </w:r>
    </w:p>
    <w:p w14:paraId="07CC9FBD" w14:textId="77777777" w:rsidR="00B53505" w:rsidRPr="00B53505" w:rsidRDefault="00B53505" w:rsidP="00B53505">
      <w:pPr>
        <w:pStyle w:val="Odstavekseznama"/>
        <w:ind w:left="0"/>
        <w:jc w:val="both"/>
        <w:rPr>
          <w:lang w:val="sl-SI"/>
        </w:rPr>
      </w:pPr>
    </w:p>
    <w:p w14:paraId="5018DA38" w14:textId="77777777" w:rsidR="00B53505" w:rsidRPr="00B53505" w:rsidRDefault="00B53505" w:rsidP="00B53505">
      <w:pPr>
        <w:rPr>
          <w:lang w:val="sl-SI"/>
        </w:rPr>
      </w:pPr>
    </w:p>
    <w:p w14:paraId="647877E6" w14:textId="77777777" w:rsidR="00B53505" w:rsidRPr="00B53505" w:rsidRDefault="00B53505" w:rsidP="00B53505">
      <w:pPr>
        <w:suppressAutoHyphens/>
        <w:overflowPunct w:val="0"/>
        <w:autoSpaceDE w:val="0"/>
        <w:autoSpaceDN w:val="0"/>
        <w:adjustRightInd w:val="0"/>
        <w:spacing w:line="240" w:lineRule="auto"/>
        <w:jc w:val="center"/>
        <w:textAlignment w:val="baseline"/>
        <w:rPr>
          <w:rFonts w:cs="Arial"/>
          <w:b/>
          <w:szCs w:val="20"/>
          <w:lang w:val="sl-SI"/>
        </w:rPr>
      </w:pPr>
      <w:r w:rsidRPr="00B53505">
        <w:rPr>
          <w:rFonts w:cs="Arial"/>
          <w:b/>
          <w:szCs w:val="20"/>
          <w:lang w:val="sl-SI"/>
        </w:rPr>
        <w:t>19. člen</w:t>
      </w:r>
    </w:p>
    <w:p w14:paraId="7C9C9F6C" w14:textId="77777777" w:rsidR="00B53505" w:rsidRPr="00B53505" w:rsidRDefault="00B53505" w:rsidP="00B53505">
      <w:pPr>
        <w:suppressAutoHyphens/>
        <w:overflowPunct w:val="0"/>
        <w:autoSpaceDE w:val="0"/>
        <w:autoSpaceDN w:val="0"/>
        <w:adjustRightInd w:val="0"/>
        <w:spacing w:line="240" w:lineRule="auto"/>
        <w:jc w:val="center"/>
        <w:textAlignment w:val="baseline"/>
        <w:rPr>
          <w:rFonts w:cs="Arial"/>
          <w:b/>
          <w:szCs w:val="20"/>
          <w:lang w:val="sl-SI"/>
        </w:rPr>
      </w:pPr>
      <w:r w:rsidRPr="00B53505">
        <w:rPr>
          <w:rFonts w:cs="Arial"/>
          <w:b/>
          <w:szCs w:val="20"/>
          <w:lang w:val="sl-SI"/>
        </w:rPr>
        <w:t>(prekrški)</w:t>
      </w:r>
    </w:p>
    <w:p w14:paraId="1F9CEF84" w14:textId="77777777" w:rsidR="00B53505" w:rsidRPr="00B53505" w:rsidRDefault="00B53505" w:rsidP="00B53505">
      <w:pPr>
        <w:rPr>
          <w:lang w:val="sl-SI"/>
        </w:rPr>
      </w:pPr>
    </w:p>
    <w:p w14:paraId="629D6967" w14:textId="77777777" w:rsidR="00B53505" w:rsidRPr="00B53505" w:rsidRDefault="00B53505" w:rsidP="00B53505">
      <w:pPr>
        <w:pStyle w:val="Odstavekseznama"/>
        <w:ind w:left="0"/>
        <w:jc w:val="both"/>
        <w:rPr>
          <w:color w:val="000000" w:themeColor="text1"/>
          <w:lang w:val="sl-SI"/>
        </w:rPr>
      </w:pPr>
      <w:r w:rsidRPr="00B53505">
        <w:rPr>
          <w:lang w:val="sl-SI"/>
        </w:rPr>
        <w:t xml:space="preserve">(1) Z </w:t>
      </w:r>
      <w:r w:rsidRPr="00B53505">
        <w:rPr>
          <w:color w:val="000000" w:themeColor="text1"/>
          <w:lang w:val="sl-SI"/>
        </w:rPr>
        <w:t>globo od 4.500 do 60.000 eurov se za prekršek kaznuje pravna oseba, če:</w:t>
      </w:r>
    </w:p>
    <w:p w14:paraId="4BE17513" w14:textId="77777777" w:rsidR="00B53505" w:rsidRPr="00B53505" w:rsidRDefault="00B53505" w:rsidP="00B53505">
      <w:pPr>
        <w:pStyle w:val="Odstavekseznama"/>
        <w:numPr>
          <w:ilvl w:val="0"/>
          <w:numId w:val="39"/>
        </w:numPr>
        <w:spacing w:line="260" w:lineRule="atLeast"/>
        <w:contextualSpacing/>
        <w:jc w:val="both"/>
        <w:rPr>
          <w:lang w:val="sl-SI"/>
        </w:rPr>
      </w:pPr>
      <w:r w:rsidRPr="00B53505">
        <w:rPr>
          <w:lang w:val="sl-SI"/>
        </w:rPr>
        <w:t>se med izvajanjem dejavnosti podatkovnega altruizma pravnoorganizacijsko preoblikuje tako, da ni več pravna oseba, ustanovljena za doseganje ciljev v splošnem interesu (točka b) 18. člena Uredbe 2022/868/EU);</w:t>
      </w:r>
    </w:p>
    <w:p w14:paraId="23553FE2" w14:textId="77777777" w:rsidR="00B53505" w:rsidRPr="00B53505" w:rsidRDefault="00B53505" w:rsidP="00B53505">
      <w:pPr>
        <w:pStyle w:val="Odstavekseznama"/>
        <w:numPr>
          <w:ilvl w:val="0"/>
          <w:numId w:val="39"/>
        </w:numPr>
        <w:spacing w:line="260" w:lineRule="atLeast"/>
        <w:contextualSpacing/>
        <w:jc w:val="both"/>
        <w:rPr>
          <w:lang w:val="sl-SI"/>
        </w:rPr>
      </w:pPr>
      <w:r w:rsidRPr="00B53505">
        <w:rPr>
          <w:lang w:val="sl-SI"/>
        </w:rPr>
        <w:t>med izvajanjem dejavnosti podatkovnega altruizma ne deluje več nepridobitno in je pravno odvisna od katerega koli subjekta, ki deluje pridobitno (točka c) 18. člena Uredbe 2022/868/EU);</w:t>
      </w:r>
    </w:p>
    <w:p w14:paraId="18807CBF" w14:textId="77777777" w:rsidR="00B53505" w:rsidRPr="00B53505" w:rsidRDefault="00B53505" w:rsidP="00B53505">
      <w:pPr>
        <w:pStyle w:val="Odstavekseznama"/>
        <w:numPr>
          <w:ilvl w:val="0"/>
          <w:numId w:val="39"/>
        </w:numPr>
        <w:spacing w:line="260" w:lineRule="atLeast"/>
        <w:contextualSpacing/>
        <w:jc w:val="both"/>
        <w:rPr>
          <w:lang w:val="sl-SI"/>
        </w:rPr>
      </w:pPr>
      <w:r w:rsidRPr="00B53505">
        <w:rPr>
          <w:lang w:val="sl-SI"/>
        </w:rPr>
        <w:t>izvaja dejavnosti podatkovnega altruizma prek strukture, ki funkcionalno ni ločena od drugih njenih dejavnosti (točka d) 18. člena Uredbe 2022/868/EU);</w:t>
      </w:r>
    </w:p>
    <w:p w14:paraId="143E7558" w14:textId="77777777" w:rsidR="00B53505" w:rsidRPr="00B53505" w:rsidRDefault="00B53505" w:rsidP="00B53505">
      <w:pPr>
        <w:jc w:val="both"/>
        <w:rPr>
          <w:lang w:val="sl-SI"/>
        </w:rPr>
      </w:pPr>
    </w:p>
    <w:p w14:paraId="3B286F29" w14:textId="77777777" w:rsidR="00B53505" w:rsidRPr="00B53505" w:rsidRDefault="00B53505" w:rsidP="00B53505">
      <w:pPr>
        <w:pStyle w:val="Odstavekseznama"/>
        <w:ind w:left="0"/>
        <w:jc w:val="both"/>
        <w:rPr>
          <w:lang w:val="sl-SI"/>
        </w:rPr>
      </w:pPr>
      <w:r w:rsidRPr="00B53505">
        <w:rPr>
          <w:lang w:val="sl-SI"/>
        </w:rPr>
        <w:t>(2) Z globo od 400 do 6.000 eurov se za prekršek iz prejšnjega odstavka kaznuje odgovorna oseba pravne osebe.</w:t>
      </w:r>
    </w:p>
    <w:p w14:paraId="193D4898" w14:textId="77777777" w:rsidR="00B53505" w:rsidRPr="00B53505" w:rsidRDefault="00B53505" w:rsidP="00B53505">
      <w:pPr>
        <w:rPr>
          <w:lang w:val="sl-SI"/>
        </w:rPr>
      </w:pPr>
    </w:p>
    <w:p w14:paraId="5F16BABF" w14:textId="77777777" w:rsidR="00B53505" w:rsidRPr="00B53505" w:rsidRDefault="00B53505" w:rsidP="00B53505">
      <w:pPr>
        <w:rPr>
          <w:lang w:val="sl-SI"/>
        </w:rPr>
      </w:pPr>
    </w:p>
    <w:p w14:paraId="06070ED3" w14:textId="77777777" w:rsidR="00B53505" w:rsidRPr="00B53505" w:rsidRDefault="00B53505" w:rsidP="00B53505">
      <w:pPr>
        <w:suppressAutoHyphens/>
        <w:overflowPunct w:val="0"/>
        <w:autoSpaceDE w:val="0"/>
        <w:autoSpaceDN w:val="0"/>
        <w:adjustRightInd w:val="0"/>
        <w:spacing w:line="240" w:lineRule="auto"/>
        <w:jc w:val="center"/>
        <w:textAlignment w:val="baseline"/>
        <w:rPr>
          <w:rFonts w:cs="Arial"/>
          <w:b/>
          <w:szCs w:val="20"/>
          <w:lang w:val="sl-SI"/>
        </w:rPr>
      </w:pPr>
      <w:r w:rsidRPr="00B53505">
        <w:rPr>
          <w:rFonts w:cs="Arial"/>
          <w:b/>
          <w:szCs w:val="20"/>
          <w:lang w:val="sl-SI"/>
        </w:rPr>
        <w:t>20. člen</w:t>
      </w:r>
    </w:p>
    <w:p w14:paraId="57D07B89" w14:textId="77777777" w:rsidR="00B53505" w:rsidRPr="00B53505" w:rsidRDefault="00B53505" w:rsidP="00B53505">
      <w:pPr>
        <w:suppressAutoHyphens/>
        <w:overflowPunct w:val="0"/>
        <w:autoSpaceDE w:val="0"/>
        <w:autoSpaceDN w:val="0"/>
        <w:adjustRightInd w:val="0"/>
        <w:spacing w:line="240" w:lineRule="auto"/>
        <w:jc w:val="center"/>
        <w:textAlignment w:val="baseline"/>
        <w:rPr>
          <w:rFonts w:cs="Arial"/>
          <w:b/>
          <w:szCs w:val="20"/>
          <w:lang w:val="sl-SI"/>
        </w:rPr>
      </w:pPr>
      <w:r w:rsidRPr="00B53505">
        <w:rPr>
          <w:rFonts w:cs="Arial"/>
          <w:b/>
          <w:szCs w:val="20"/>
          <w:lang w:val="sl-SI"/>
        </w:rPr>
        <w:t>(prekrški)</w:t>
      </w:r>
    </w:p>
    <w:p w14:paraId="74200A29" w14:textId="77777777" w:rsidR="00B53505" w:rsidRPr="00B53505" w:rsidRDefault="00B53505" w:rsidP="00B53505">
      <w:pPr>
        <w:rPr>
          <w:lang w:val="sl-SI"/>
        </w:rPr>
      </w:pPr>
    </w:p>
    <w:p w14:paraId="0C32CD78" w14:textId="77777777" w:rsidR="00B53505" w:rsidRPr="00B53505" w:rsidRDefault="00B53505" w:rsidP="00B53505">
      <w:pPr>
        <w:pStyle w:val="Odstavekseznama"/>
        <w:ind w:left="0"/>
        <w:jc w:val="both"/>
        <w:rPr>
          <w:lang w:val="sl-SI"/>
        </w:rPr>
      </w:pPr>
      <w:r w:rsidRPr="00B53505">
        <w:rPr>
          <w:lang w:val="sl-SI"/>
        </w:rPr>
        <w:t>(1) Z globo od 4.500 do 60.000 eurov se za prekršek kaznuje pravna oseba, če:</w:t>
      </w:r>
    </w:p>
    <w:p w14:paraId="140130C4" w14:textId="77777777" w:rsidR="00B53505" w:rsidRPr="00B53505" w:rsidRDefault="00B53505" w:rsidP="00B53505">
      <w:pPr>
        <w:pStyle w:val="Odstavekseznama"/>
        <w:numPr>
          <w:ilvl w:val="0"/>
          <w:numId w:val="40"/>
        </w:numPr>
        <w:spacing w:line="260" w:lineRule="atLeast"/>
        <w:contextualSpacing/>
        <w:jc w:val="both"/>
        <w:rPr>
          <w:lang w:val="sl-SI"/>
        </w:rPr>
      </w:pPr>
      <w:r w:rsidRPr="00B53505">
        <w:rPr>
          <w:lang w:val="sl-SI"/>
        </w:rPr>
        <w:t>ne vodi popolne in natančne evidence o vseh fizičnih ali pravnih osebah, ki so imele možnost obdelati podatke, ki jih hrani ta priznana organizacija za podatkovni altruizem, in njihovih kontaktnih podatkih; o datumu ali trajanju obdelave osebnih podatkov ali uporabe neosebnih podatkov; o namenu obdelave v skladu z izjavo fizične ali pravne osebe, ki je dobila možnost obdelave; ali o morebitnih pristojbinah, ki so jih fizične ali pravne osebe plačale za obdelavo podatkov (prvi odstavek 20. člena Uredbe 2022/868/EU);</w:t>
      </w:r>
    </w:p>
    <w:p w14:paraId="0CB87D36" w14:textId="77777777" w:rsidR="00B53505" w:rsidRPr="00B53505" w:rsidRDefault="00B53505" w:rsidP="00B53505">
      <w:pPr>
        <w:pStyle w:val="Odstavekseznama"/>
        <w:numPr>
          <w:ilvl w:val="0"/>
          <w:numId w:val="40"/>
        </w:numPr>
        <w:spacing w:line="260" w:lineRule="atLeast"/>
        <w:contextualSpacing/>
        <w:jc w:val="both"/>
        <w:rPr>
          <w:lang w:val="sl-SI"/>
        </w:rPr>
      </w:pPr>
      <w:r w:rsidRPr="00B53505">
        <w:rPr>
          <w:lang w:val="sl-SI"/>
        </w:rPr>
        <w:t>ne pripravi in pristojnemu organu iz 13. člena tega zakona ne pošlje letnega poročila o dejavnostih, ki vsebuje vsaj podatke iz točk a) do e) 20. člena Uredbe 2022/868/EU (drugi odstavek 20. člena Uredbe 2022/868/EU).</w:t>
      </w:r>
    </w:p>
    <w:p w14:paraId="1CA84853" w14:textId="77777777" w:rsidR="00B53505" w:rsidRPr="00B53505" w:rsidRDefault="00B53505" w:rsidP="00B53505">
      <w:pPr>
        <w:pStyle w:val="Odstavekseznama"/>
        <w:ind w:left="0"/>
        <w:jc w:val="both"/>
        <w:rPr>
          <w:lang w:val="sl-SI"/>
        </w:rPr>
      </w:pPr>
    </w:p>
    <w:p w14:paraId="7EEB6B78" w14:textId="77777777" w:rsidR="00B53505" w:rsidRPr="00B53505" w:rsidRDefault="00B53505" w:rsidP="00B53505">
      <w:pPr>
        <w:pStyle w:val="Odstavekseznama"/>
        <w:ind w:left="0"/>
        <w:jc w:val="both"/>
        <w:rPr>
          <w:lang w:val="sl-SI"/>
        </w:rPr>
      </w:pPr>
      <w:r w:rsidRPr="00B53505">
        <w:rPr>
          <w:lang w:val="sl-SI"/>
        </w:rPr>
        <w:t>(2) Z globo od 400 do 6.000 eurov se za prekršek iz prejšnjega odstavka kaznuje odgovorna oseba pravne osebe.</w:t>
      </w:r>
    </w:p>
    <w:p w14:paraId="2886DA33" w14:textId="77777777" w:rsidR="00B53505" w:rsidRPr="00B53505" w:rsidRDefault="00B53505" w:rsidP="00B53505">
      <w:pPr>
        <w:rPr>
          <w:lang w:val="sl-SI"/>
        </w:rPr>
      </w:pPr>
    </w:p>
    <w:p w14:paraId="586D96E4" w14:textId="77777777" w:rsidR="00B53505" w:rsidRPr="00B53505" w:rsidRDefault="00B53505" w:rsidP="00B53505">
      <w:pPr>
        <w:rPr>
          <w:lang w:val="sl-SI"/>
        </w:rPr>
      </w:pPr>
    </w:p>
    <w:p w14:paraId="7F4283CA" w14:textId="77777777" w:rsidR="00B53505" w:rsidRPr="00B53505" w:rsidRDefault="00B53505" w:rsidP="00B53505">
      <w:pPr>
        <w:suppressAutoHyphens/>
        <w:overflowPunct w:val="0"/>
        <w:autoSpaceDE w:val="0"/>
        <w:autoSpaceDN w:val="0"/>
        <w:adjustRightInd w:val="0"/>
        <w:spacing w:line="240" w:lineRule="auto"/>
        <w:jc w:val="center"/>
        <w:textAlignment w:val="baseline"/>
        <w:rPr>
          <w:rFonts w:cs="Arial"/>
          <w:b/>
          <w:szCs w:val="20"/>
          <w:lang w:val="sl-SI"/>
        </w:rPr>
      </w:pPr>
      <w:r w:rsidRPr="00B53505">
        <w:rPr>
          <w:rFonts w:cs="Arial"/>
          <w:b/>
          <w:szCs w:val="20"/>
          <w:lang w:val="sl-SI"/>
        </w:rPr>
        <w:t>21. člen</w:t>
      </w:r>
    </w:p>
    <w:p w14:paraId="35C6C9DB" w14:textId="77777777" w:rsidR="00B53505" w:rsidRPr="00B53505" w:rsidRDefault="00B53505" w:rsidP="00B53505">
      <w:pPr>
        <w:suppressAutoHyphens/>
        <w:overflowPunct w:val="0"/>
        <w:autoSpaceDE w:val="0"/>
        <w:autoSpaceDN w:val="0"/>
        <w:adjustRightInd w:val="0"/>
        <w:spacing w:line="240" w:lineRule="auto"/>
        <w:jc w:val="center"/>
        <w:textAlignment w:val="baseline"/>
        <w:rPr>
          <w:rFonts w:cs="Arial"/>
          <w:b/>
          <w:szCs w:val="20"/>
          <w:lang w:val="sl-SI"/>
        </w:rPr>
      </w:pPr>
      <w:r w:rsidRPr="00B53505">
        <w:rPr>
          <w:rFonts w:cs="Arial"/>
          <w:b/>
          <w:szCs w:val="20"/>
          <w:lang w:val="sl-SI"/>
        </w:rPr>
        <w:t>(prekrški)</w:t>
      </w:r>
    </w:p>
    <w:p w14:paraId="263A9893" w14:textId="77777777" w:rsidR="00B53505" w:rsidRPr="00B53505" w:rsidRDefault="00B53505" w:rsidP="00B53505">
      <w:pPr>
        <w:rPr>
          <w:lang w:val="sl-SI"/>
        </w:rPr>
      </w:pPr>
    </w:p>
    <w:p w14:paraId="30FBF3DA" w14:textId="77777777" w:rsidR="00B53505" w:rsidRPr="00B53505" w:rsidRDefault="00B53505" w:rsidP="00B53505">
      <w:pPr>
        <w:pStyle w:val="Odstavekseznama"/>
        <w:ind w:left="0"/>
        <w:jc w:val="both"/>
        <w:rPr>
          <w:lang w:val="sl-SI"/>
        </w:rPr>
      </w:pPr>
      <w:r w:rsidRPr="00B53505">
        <w:rPr>
          <w:lang w:val="sl-SI"/>
        </w:rPr>
        <w:t>(1) Z globo od 4.500 do 60.000 eurov se za prekršek kaznuje pravna oseba, če:</w:t>
      </w:r>
    </w:p>
    <w:p w14:paraId="4CC6D1BA" w14:textId="77777777" w:rsidR="00B53505" w:rsidRPr="00B53505" w:rsidRDefault="00B53505" w:rsidP="00B53505">
      <w:pPr>
        <w:pStyle w:val="Odstavekseznama"/>
        <w:numPr>
          <w:ilvl w:val="0"/>
          <w:numId w:val="35"/>
        </w:numPr>
        <w:spacing w:line="260" w:lineRule="atLeast"/>
        <w:contextualSpacing/>
        <w:jc w:val="both"/>
        <w:rPr>
          <w:lang w:val="sl-SI"/>
        </w:rPr>
      </w:pPr>
      <w:r w:rsidRPr="00B53505">
        <w:rPr>
          <w:lang w:val="sl-SI"/>
        </w:rPr>
        <w:t>pred vsako obdelavo podatkov ne obvesti posameznikov, na katere se nanašajo osebni podatki, ali imetnikov podatkov na jasen in zlahka razumljiv o ciljih v splošnem interesu ter po potrebi o določenem, izrecnem in zakonitem namenu, za katerega se bodo osebni podatki obdelovali, kadar za te cilje in ta namen uporabniku podatkov dovoljuje obdelavo njihovih podatkov (točka a) prvega odstavka 21. člena Uredbe 2022/868/EU), ali o lokaciji in ciljih v splošnem interesu, za katere dovoljuje vsako obdelavo, ki se izvaja v tretji državi, kadar obdelavo izvaja priznana organizacija za podatkovni altruizem (točka b) prvega odstavka 21. člena Uredbe 2022/868/EU);</w:t>
      </w:r>
    </w:p>
    <w:p w14:paraId="0268BD1E" w14:textId="77777777" w:rsidR="00B53505" w:rsidRPr="00B53505" w:rsidRDefault="00B53505" w:rsidP="00B53505">
      <w:pPr>
        <w:pStyle w:val="Odstavekseznama"/>
        <w:numPr>
          <w:ilvl w:val="0"/>
          <w:numId w:val="35"/>
        </w:numPr>
        <w:spacing w:line="260" w:lineRule="atLeast"/>
        <w:contextualSpacing/>
        <w:jc w:val="both"/>
        <w:rPr>
          <w:lang w:val="sl-SI"/>
        </w:rPr>
      </w:pPr>
      <w:r w:rsidRPr="00B53505">
        <w:rPr>
          <w:lang w:val="sl-SI"/>
        </w:rPr>
        <w:t>ne uporablja podatkov samo za cilje v splošnem interesu in za katere posameznik, na katere se nanašajo osebni podatki, ali imetnik podatkov dovoljuje obdelavo, ali če za pridobivanje podatkov uporablja zavajajoče tržne prakse (drugi odstavek 21. člena Uredbe 2022/868/EU);</w:t>
      </w:r>
    </w:p>
    <w:p w14:paraId="072BD4A2" w14:textId="77777777" w:rsidR="00B53505" w:rsidRPr="00B53505" w:rsidRDefault="00B53505" w:rsidP="00B53505">
      <w:pPr>
        <w:pStyle w:val="Odstavekseznama"/>
        <w:numPr>
          <w:ilvl w:val="0"/>
          <w:numId w:val="35"/>
        </w:numPr>
        <w:spacing w:line="260" w:lineRule="atLeast"/>
        <w:contextualSpacing/>
        <w:jc w:val="both"/>
        <w:rPr>
          <w:lang w:val="sl-SI"/>
        </w:rPr>
      </w:pPr>
      <w:r w:rsidRPr="00B53505">
        <w:rPr>
          <w:lang w:val="sl-SI"/>
        </w:rPr>
        <w:t>ne zagotovi orodja za pridobitev privolitve posameznikov, na katere se nanašajo osebni podatki, ali dovoljenj za obdelavo podatkov, ki jih dajo na voljo imetniki podatkov, ali orodja za enostaven umik take privolitve ali dovoljenja (tretji odstavek 21. člena Uredbe 2022/868/EU);</w:t>
      </w:r>
    </w:p>
    <w:p w14:paraId="37890F30" w14:textId="77777777" w:rsidR="00B53505" w:rsidRPr="00B53505" w:rsidRDefault="00B53505" w:rsidP="00B53505">
      <w:pPr>
        <w:pStyle w:val="Odstavekseznama"/>
        <w:numPr>
          <w:ilvl w:val="0"/>
          <w:numId w:val="35"/>
        </w:numPr>
        <w:spacing w:line="260" w:lineRule="atLeast"/>
        <w:contextualSpacing/>
        <w:jc w:val="both"/>
        <w:rPr>
          <w:lang w:val="sl-SI"/>
        </w:rPr>
      </w:pPr>
      <w:r w:rsidRPr="00B53505">
        <w:rPr>
          <w:lang w:val="sl-SI"/>
        </w:rPr>
        <w:t>ne sprejme ukrepov, s katerimi zagotovi ustrezno raven varnosti za shranjevanje in obdelavo neosebnih podatkov, ki jih je zbrala na podlagi podatkovnega altruizma (četrti odstavek 21. člena Uredbe 2022/868/EU);</w:t>
      </w:r>
    </w:p>
    <w:p w14:paraId="20188816" w14:textId="77777777" w:rsidR="00B53505" w:rsidRPr="00B53505" w:rsidRDefault="00B53505" w:rsidP="00B53505">
      <w:pPr>
        <w:pStyle w:val="Odstavekseznama"/>
        <w:numPr>
          <w:ilvl w:val="0"/>
          <w:numId w:val="35"/>
        </w:numPr>
        <w:spacing w:line="260" w:lineRule="atLeast"/>
        <w:contextualSpacing/>
        <w:jc w:val="both"/>
        <w:rPr>
          <w:lang w:val="sl-SI"/>
        </w:rPr>
      </w:pPr>
      <w:r w:rsidRPr="00B53505">
        <w:rPr>
          <w:lang w:val="sl-SI"/>
        </w:rPr>
        <w:t>ne obvesti brez odlašanja imetnikov podatkov v primeru vsakega nepooblaščenega prenosa neosebnih podatkov, ki jih je dal v souporabo, nepooblaščenega dostopa do njih ali njihove nepooblaščene uporabe (peti odstavek 21. člena Uredbe 2022/868/EU);</w:t>
      </w:r>
    </w:p>
    <w:p w14:paraId="68296E82" w14:textId="77777777" w:rsidR="00B53505" w:rsidRPr="00B53505" w:rsidRDefault="00B53505" w:rsidP="00B53505">
      <w:pPr>
        <w:pStyle w:val="Odstavekseznama"/>
        <w:numPr>
          <w:ilvl w:val="0"/>
          <w:numId w:val="35"/>
        </w:numPr>
        <w:spacing w:line="260" w:lineRule="atLeast"/>
        <w:contextualSpacing/>
        <w:jc w:val="both"/>
        <w:rPr>
          <w:lang w:val="sl-SI"/>
        </w:rPr>
      </w:pPr>
      <w:r w:rsidRPr="00B53505">
        <w:rPr>
          <w:lang w:val="sl-SI"/>
        </w:rPr>
        <w:t>ne priskrbi orodja za pridobitev privolitve posameznikov, na katere se nanašajo osebni podatki, ali dovoljenja za obdelavo podatkov, ki jih dajo na voljo imetniki podatkov, ali ne navede pristojnosti tretje države, v katerih naj bi se podatki uporabljali, kadar omogoča, da tretje osebe obdelujejo podatke (šesti odstavek 21. člena Uredbe 2022/868/EU).</w:t>
      </w:r>
    </w:p>
    <w:p w14:paraId="18816C1D" w14:textId="77777777" w:rsidR="00B53505" w:rsidRPr="00B53505" w:rsidRDefault="00B53505" w:rsidP="00B53505">
      <w:pPr>
        <w:rPr>
          <w:lang w:val="sl-SI"/>
        </w:rPr>
      </w:pPr>
    </w:p>
    <w:p w14:paraId="381D43D1" w14:textId="77777777" w:rsidR="00B53505" w:rsidRPr="00B53505" w:rsidRDefault="00B53505" w:rsidP="00B53505">
      <w:pPr>
        <w:pStyle w:val="Odstavekseznama"/>
        <w:ind w:left="0"/>
        <w:jc w:val="both"/>
        <w:rPr>
          <w:lang w:val="sl-SI"/>
        </w:rPr>
      </w:pPr>
      <w:r w:rsidRPr="00B53505">
        <w:rPr>
          <w:lang w:val="sl-SI"/>
        </w:rPr>
        <w:t>(2) Z globo od 400 do 6.000 eurov se za prekršek iz prejšnjega odstavka kaznuje odgovorna oseba pravne osebe.</w:t>
      </w:r>
    </w:p>
    <w:p w14:paraId="55BF7401" w14:textId="77777777" w:rsidR="00B53505" w:rsidRPr="00B53505" w:rsidRDefault="00B53505" w:rsidP="00B53505">
      <w:pPr>
        <w:pStyle w:val="Odstavekseznama"/>
        <w:ind w:left="0"/>
        <w:jc w:val="both"/>
        <w:rPr>
          <w:lang w:val="sl-SI"/>
        </w:rPr>
      </w:pPr>
    </w:p>
    <w:p w14:paraId="2CD2245B" w14:textId="77777777" w:rsidR="00B53505" w:rsidRPr="00B53505" w:rsidRDefault="00B53505" w:rsidP="00B53505">
      <w:pPr>
        <w:pStyle w:val="Odstavekseznama"/>
        <w:ind w:left="0"/>
        <w:jc w:val="both"/>
        <w:rPr>
          <w:lang w:val="sl-SI"/>
        </w:rPr>
      </w:pPr>
    </w:p>
    <w:p w14:paraId="14C9704F" w14:textId="77777777" w:rsidR="00B53505" w:rsidRPr="00B53505" w:rsidRDefault="00B53505" w:rsidP="00B53505">
      <w:pPr>
        <w:suppressAutoHyphens/>
        <w:overflowPunct w:val="0"/>
        <w:autoSpaceDE w:val="0"/>
        <w:autoSpaceDN w:val="0"/>
        <w:adjustRightInd w:val="0"/>
        <w:spacing w:line="240" w:lineRule="auto"/>
        <w:jc w:val="center"/>
        <w:textAlignment w:val="baseline"/>
        <w:rPr>
          <w:rFonts w:cs="Arial"/>
          <w:b/>
          <w:szCs w:val="20"/>
          <w:lang w:val="sl-SI"/>
        </w:rPr>
      </w:pPr>
      <w:r w:rsidRPr="00B53505">
        <w:rPr>
          <w:rFonts w:cs="Arial"/>
          <w:b/>
          <w:szCs w:val="20"/>
          <w:lang w:val="sl-SI"/>
        </w:rPr>
        <w:t>22. člen</w:t>
      </w:r>
    </w:p>
    <w:p w14:paraId="0EE6317D" w14:textId="77777777" w:rsidR="00B53505" w:rsidRPr="00B53505" w:rsidRDefault="00B53505" w:rsidP="00B53505">
      <w:pPr>
        <w:suppressAutoHyphens/>
        <w:overflowPunct w:val="0"/>
        <w:autoSpaceDE w:val="0"/>
        <w:autoSpaceDN w:val="0"/>
        <w:adjustRightInd w:val="0"/>
        <w:spacing w:line="240" w:lineRule="auto"/>
        <w:jc w:val="center"/>
        <w:textAlignment w:val="baseline"/>
        <w:rPr>
          <w:rFonts w:cs="Arial"/>
          <w:b/>
          <w:szCs w:val="20"/>
          <w:lang w:val="sl-SI"/>
        </w:rPr>
      </w:pPr>
      <w:r w:rsidRPr="00B53505">
        <w:rPr>
          <w:rFonts w:cs="Arial"/>
          <w:b/>
          <w:szCs w:val="20"/>
          <w:lang w:val="sl-SI"/>
        </w:rPr>
        <w:t>(prekrški)</w:t>
      </w:r>
    </w:p>
    <w:p w14:paraId="30053106" w14:textId="77777777" w:rsidR="00B53505" w:rsidRPr="00B53505" w:rsidRDefault="00B53505" w:rsidP="00B53505">
      <w:pPr>
        <w:rPr>
          <w:lang w:val="sl-SI"/>
        </w:rPr>
      </w:pPr>
    </w:p>
    <w:p w14:paraId="523677E3" w14:textId="77777777" w:rsidR="00B53505" w:rsidRPr="00B53505" w:rsidRDefault="00B53505" w:rsidP="00B53505">
      <w:pPr>
        <w:pStyle w:val="Odstavekseznama"/>
        <w:ind w:left="0"/>
        <w:jc w:val="both"/>
        <w:rPr>
          <w:lang w:val="sl-SI"/>
        </w:rPr>
      </w:pPr>
      <w:r w:rsidRPr="00B53505">
        <w:rPr>
          <w:lang w:val="sl-SI"/>
        </w:rPr>
        <w:t>(1) Z globo od 4.500 do 60.000 eurov se za prekršek kaznuje pravna oseba, če:</w:t>
      </w:r>
    </w:p>
    <w:p w14:paraId="0EA22EF6" w14:textId="77777777" w:rsidR="00B53505" w:rsidRPr="00B53505" w:rsidRDefault="00B53505" w:rsidP="00B53505">
      <w:pPr>
        <w:pStyle w:val="Odstavekseznama"/>
        <w:numPr>
          <w:ilvl w:val="0"/>
          <w:numId w:val="41"/>
        </w:numPr>
        <w:spacing w:line="260" w:lineRule="atLeast"/>
        <w:contextualSpacing/>
        <w:jc w:val="both"/>
        <w:rPr>
          <w:lang w:val="sl-SI"/>
        </w:rPr>
      </w:pPr>
      <w:r w:rsidRPr="00B53505">
        <w:rPr>
          <w:lang w:val="sl-SI"/>
        </w:rPr>
        <w:t>ne sprejme vseh razumnih tehničnih, pravnih ali organizacijskih ukrepov, tudi pogodenih dogovorov, za preprečitev mednarodnega prenosa neosebnih podatkov, hranjenih  v Evropski uniji, ali dostopa državnih organov drugih držav do teh podatkov (prvi odstavek 31. člena Uredbe 2022/868/EU);</w:t>
      </w:r>
    </w:p>
    <w:p w14:paraId="7EF051A1" w14:textId="77777777" w:rsidR="00B53505" w:rsidRPr="00B53505" w:rsidRDefault="00B53505" w:rsidP="00B53505">
      <w:pPr>
        <w:pStyle w:val="Odstavekseznama"/>
        <w:numPr>
          <w:ilvl w:val="0"/>
          <w:numId w:val="41"/>
        </w:numPr>
        <w:spacing w:line="260" w:lineRule="atLeast"/>
        <w:contextualSpacing/>
        <w:jc w:val="both"/>
        <w:rPr>
          <w:lang w:val="sl-SI"/>
        </w:rPr>
      </w:pPr>
      <w:r w:rsidRPr="00B53505">
        <w:rPr>
          <w:lang w:val="sl-SI"/>
        </w:rPr>
        <w:t>je ob prenosu podatkov v tretjo državo zagotovila večjo količino podatkov, kot je bilo to sprejemljivo, ob upoštevanju drugega in tretjega odstavka 31. člena Uredbe 2022/868/EU (četrti odstavek 31. člena Uredbe 2022/868/EU);</w:t>
      </w:r>
    </w:p>
    <w:p w14:paraId="64788B84" w14:textId="77777777" w:rsidR="00B53505" w:rsidRPr="00B53505" w:rsidRDefault="00B53505" w:rsidP="00B53505">
      <w:pPr>
        <w:pStyle w:val="Odstavekseznama"/>
        <w:numPr>
          <w:ilvl w:val="0"/>
          <w:numId w:val="41"/>
        </w:numPr>
        <w:spacing w:line="260" w:lineRule="atLeast"/>
        <w:contextualSpacing/>
        <w:jc w:val="both"/>
        <w:rPr>
          <w:lang w:val="sl-SI"/>
        </w:rPr>
      </w:pPr>
      <w:r w:rsidRPr="00B53505">
        <w:rPr>
          <w:lang w:val="sl-SI"/>
        </w:rPr>
        <w:t>ob prenosu podatkov v tretjo državo ni obvestila imetnika podatkov o prošnji upravnega organa tretje države za dostop do njegovih podatkov pred ugoditvijo prošnji za prenos, razen v primeru prošnje z namenom kazenskega pregona in dokler je to potrebno za ohranitev učinkovitosti kazenskega pregona (peti odstavek 31. člena Uredbe 2022/868/EU).</w:t>
      </w:r>
    </w:p>
    <w:p w14:paraId="7F8D34DF" w14:textId="77777777" w:rsidR="00B53505" w:rsidRPr="00B53505" w:rsidRDefault="00B53505" w:rsidP="00B53505">
      <w:pPr>
        <w:pStyle w:val="Odstavekseznama"/>
        <w:ind w:left="0"/>
        <w:jc w:val="both"/>
        <w:rPr>
          <w:lang w:val="sl-SI"/>
        </w:rPr>
      </w:pPr>
      <w:r w:rsidRPr="00B53505">
        <w:rPr>
          <w:lang w:val="sl-SI"/>
        </w:rPr>
        <w:t xml:space="preserve"> </w:t>
      </w:r>
    </w:p>
    <w:p w14:paraId="67323AC2" w14:textId="77777777" w:rsidR="00B53505" w:rsidRPr="00B53505" w:rsidRDefault="00B53505" w:rsidP="00B53505">
      <w:pPr>
        <w:pStyle w:val="Odstavekseznama"/>
        <w:ind w:left="0"/>
        <w:jc w:val="both"/>
        <w:rPr>
          <w:lang w:val="sl-SI"/>
        </w:rPr>
      </w:pPr>
      <w:r w:rsidRPr="00B53505">
        <w:rPr>
          <w:lang w:val="sl-SI"/>
        </w:rPr>
        <w:t>(2) Z globo od 400 do 6.000 eurov se za prekršek iz prejšnjega odstavka kaznuje odgovorna oseba pravne osebe, odgovorna oseba samostojnega podjetnika posameznika oziroma posameznika, ki samostojno opravlja dejavnost ter odgovorna oseba v državnem organu ali v samoupravni lokalni skupnosti.</w:t>
      </w:r>
    </w:p>
    <w:p w14:paraId="0D05061D" w14:textId="77777777" w:rsidR="00B53505" w:rsidRPr="00B53505" w:rsidRDefault="00B53505" w:rsidP="00B53505">
      <w:pPr>
        <w:pStyle w:val="Odstavekseznama"/>
        <w:ind w:left="0"/>
        <w:jc w:val="both"/>
        <w:rPr>
          <w:lang w:val="sl-SI"/>
        </w:rPr>
      </w:pPr>
    </w:p>
    <w:p w14:paraId="14C82DA7" w14:textId="77777777" w:rsidR="00B53505" w:rsidRPr="00B53505" w:rsidRDefault="00B53505" w:rsidP="00B53505">
      <w:pPr>
        <w:pStyle w:val="Odstavekseznama"/>
        <w:ind w:left="0"/>
        <w:jc w:val="both"/>
        <w:rPr>
          <w:lang w:val="sl-SI"/>
        </w:rPr>
      </w:pPr>
      <w:r w:rsidRPr="00B53505">
        <w:rPr>
          <w:lang w:val="sl-SI"/>
        </w:rPr>
        <w:t>(3) Z globo od 400 do 1.200 eurov se za prekrške iz prvega odstavka tega člena kaznuje samostojni podjetnik ali  posameznik, ki samostojno opravlja dejavnost.</w:t>
      </w:r>
    </w:p>
    <w:p w14:paraId="5E8C0C19" w14:textId="77777777" w:rsidR="00B53505" w:rsidRPr="00B53505" w:rsidRDefault="00B53505" w:rsidP="00B53505">
      <w:pPr>
        <w:pStyle w:val="Odstavekseznama"/>
        <w:ind w:left="0"/>
        <w:jc w:val="both"/>
        <w:rPr>
          <w:lang w:val="sl-SI"/>
        </w:rPr>
      </w:pPr>
    </w:p>
    <w:p w14:paraId="3DB91045" w14:textId="77777777" w:rsidR="00B53505" w:rsidRPr="00B53505" w:rsidRDefault="00B53505" w:rsidP="00B53505">
      <w:pPr>
        <w:pStyle w:val="Odstavekseznama"/>
        <w:ind w:left="0"/>
        <w:jc w:val="both"/>
        <w:rPr>
          <w:lang w:val="sl-SI"/>
        </w:rPr>
      </w:pPr>
      <w:r w:rsidRPr="00B53505">
        <w:rPr>
          <w:lang w:val="sl-SI"/>
        </w:rPr>
        <w:t xml:space="preserve">(4) Z globo od 400 do 1.200 eurov se za prekršek iz prvega ali drugega odstavka tega člena kaznuje posameznik. </w:t>
      </w:r>
    </w:p>
    <w:p w14:paraId="7FB20433" w14:textId="77777777" w:rsidR="00B53505" w:rsidRPr="00B53505" w:rsidRDefault="00B53505" w:rsidP="00B53505">
      <w:pPr>
        <w:pStyle w:val="Odstavekseznama"/>
        <w:ind w:left="0"/>
        <w:jc w:val="both"/>
        <w:rPr>
          <w:lang w:val="sl-SI"/>
        </w:rPr>
      </w:pPr>
    </w:p>
    <w:p w14:paraId="6B581043" w14:textId="77777777" w:rsidR="00B53505" w:rsidRPr="00B53505" w:rsidRDefault="00B53505" w:rsidP="00B53505">
      <w:pPr>
        <w:rPr>
          <w:lang w:val="sl-SI"/>
        </w:rPr>
      </w:pPr>
    </w:p>
    <w:p w14:paraId="2C74BE5F" w14:textId="77777777" w:rsidR="00B53505" w:rsidRPr="00B53505" w:rsidRDefault="00B53505" w:rsidP="00B53505">
      <w:pPr>
        <w:suppressAutoHyphens/>
        <w:overflowPunct w:val="0"/>
        <w:autoSpaceDE w:val="0"/>
        <w:autoSpaceDN w:val="0"/>
        <w:adjustRightInd w:val="0"/>
        <w:spacing w:line="240" w:lineRule="auto"/>
        <w:jc w:val="center"/>
        <w:textAlignment w:val="baseline"/>
        <w:rPr>
          <w:rFonts w:cs="Arial"/>
          <w:b/>
          <w:szCs w:val="20"/>
          <w:lang w:val="sl-SI"/>
        </w:rPr>
      </w:pPr>
      <w:r w:rsidRPr="00B53505">
        <w:rPr>
          <w:rFonts w:cs="Arial"/>
          <w:b/>
          <w:szCs w:val="20"/>
          <w:lang w:val="sl-SI"/>
        </w:rPr>
        <w:t>23. člen</w:t>
      </w:r>
    </w:p>
    <w:p w14:paraId="15B808DF" w14:textId="77777777" w:rsidR="00B53505" w:rsidRPr="00B53505" w:rsidRDefault="00B53505" w:rsidP="00B53505">
      <w:pPr>
        <w:suppressAutoHyphens/>
        <w:overflowPunct w:val="0"/>
        <w:autoSpaceDE w:val="0"/>
        <w:autoSpaceDN w:val="0"/>
        <w:adjustRightInd w:val="0"/>
        <w:spacing w:line="240" w:lineRule="auto"/>
        <w:jc w:val="center"/>
        <w:textAlignment w:val="baseline"/>
        <w:rPr>
          <w:rFonts w:cs="Arial"/>
          <w:b/>
          <w:szCs w:val="20"/>
          <w:lang w:val="sl-SI"/>
        </w:rPr>
      </w:pPr>
      <w:r w:rsidRPr="00B53505">
        <w:rPr>
          <w:rFonts w:cs="Arial"/>
          <w:b/>
          <w:szCs w:val="20"/>
          <w:lang w:val="sl-SI"/>
        </w:rPr>
        <w:t>(prekrški)</w:t>
      </w:r>
    </w:p>
    <w:p w14:paraId="50391BFE" w14:textId="77777777" w:rsidR="00B53505" w:rsidRPr="00B53505" w:rsidRDefault="00B53505" w:rsidP="00B53505">
      <w:pPr>
        <w:rPr>
          <w:lang w:val="sl-SI"/>
        </w:rPr>
      </w:pPr>
    </w:p>
    <w:p w14:paraId="39F3B5F7" w14:textId="77777777" w:rsidR="00B53505" w:rsidRPr="00B53505" w:rsidRDefault="00B53505" w:rsidP="00B53505">
      <w:pPr>
        <w:pStyle w:val="Odstavekseznama"/>
        <w:ind w:left="0"/>
        <w:jc w:val="both"/>
        <w:rPr>
          <w:lang w:val="sl-SI"/>
        </w:rPr>
      </w:pPr>
      <w:r w:rsidRPr="00B53505">
        <w:rPr>
          <w:lang w:val="sl-SI"/>
        </w:rPr>
        <w:t xml:space="preserve">(1) Z globo od 4.500 do 60.000 eurov se za prekršek kaznuje pravna oseba, če ne izpolnjuje obveznosti iz ustreznih delegiranih aktov, ki jih Evropska komisija sprejme v skladu s prvim odstavkom 22. člena Uredbe 2022/868/EU. </w:t>
      </w:r>
    </w:p>
    <w:p w14:paraId="5598A4A3" w14:textId="77777777" w:rsidR="00B53505" w:rsidRPr="00B53505" w:rsidRDefault="00B53505" w:rsidP="00B53505">
      <w:pPr>
        <w:rPr>
          <w:lang w:val="sl-SI"/>
        </w:rPr>
      </w:pPr>
    </w:p>
    <w:p w14:paraId="5BF0EE3C" w14:textId="77777777" w:rsidR="00B53505" w:rsidRPr="00B53505" w:rsidRDefault="00B53505" w:rsidP="00B53505">
      <w:pPr>
        <w:pStyle w:val="Odstavekseznama"/>
        <w:ind w:left="0"/>
        <w:jc w:val="both"/>
        <w:rPr>
          <w:lang w:val="sl-SI"/>
        </w:rPr>
      </w:pPr>
      <w:r w:rsidRPr="00B53505">
        <w:rPr>
          <w:lang w:val="sl-SI"/>
        </w:rPr>
        <w:t>(2) Z globo od 400 do 6.000 eurov se za prekršek iz prejšnjega odstavka kaznuje odgovorna oseba pravne osebe.</w:t>
      </w:r>
    </w:p>
    <w:p w14:paraId="44F058A6" w14:textId="77777777" w:rsidR="00B53505" w:rsidRPr="00B53505" w:rsidRDefault="00B53505" w:rsidP="00B53505">
      <w:pPr>
        <w:rPr>
          <w:lang w:val="sl-SI"/>
        </w:rPr>
      </w:pPr>
    </w:p>
    <w:p w14:paraId="5385C4E0" w14:textId="77777777" w:rsidR="00B53505" w:rsidRPr="00B53505" w:rsidRDefault="00B53505" w:rsidP="00B53505">
      <w:pPr>
        <w:rPr>
          <w:lang w:val="sl-SI"/>
        </w:rPr>
      </w:pPr>
    </w:p>
    <w:p w14:paraId="4DDEA6C8" w14:textId="77777777" w:rsidR="00B53505" w:rsidRPr="00B53505" w:rsidRDefault="00B53505" w:rsidP="00B53505">
      <w:pPr>
        <w:suppressAutoHyphens/>
        <w:overflowPunct w:val="0"/>
        <w:autoSpaceDE w:val="0"/>
        <w:autoSpaceDN w:val="0"/>
        <w:adjustRightInd w:val="0"/>
        <w:spacing w:line="240" w:lineRule="auto"/>
        <w:jc w:val="center"/>
        <w:textAlignment w:val="baseline"/>
        <w:rPr>
          <w:rFonts w:cs="Arial"/>
          <w:b/>
          <w:szCs w:val="20"/>
          <w:lang w:val="sl-SI"/>
        </w:rPr>
      </w:pPr>
      <w:r w:rsidRPr="00B53505">
        <w:rPr>
          <w:rFonts w:cs="Arial"/>
          <w:b/>
          <w:szCs w:val="20"/>
          <w:lang w:val="sl-SI"/>
        </w:rPr>
        <w:t>24. člen</w:t>
      </w:r>
    </w:p>
    <w:p w14:paraId="71B12596" w14:textId="77777777" w:rsidR="00B53505" w:rsidRPr="00B53505" w:rsidRDefault="00B53505" w:rsidP="00B53505">
      <w:pPr>
        <w:suppressAutoHyphens/>
        <w:overflowPunct w:val="0"/>
        <w:autoSpaceDE w:val="0"/>
        <w:autoSpaceDN w:val="0"/>
        <w:adjustRightInd w:val="0"/>
        <w:spacing w:line="240" w:lineRule="auto"/>
        <w:jc w:val="center"/>
        <w:textAlignment w:val="baseline"/>
        <w:rPr>
          <w:rFonts w:cs="Arial"/>
          <w:b/>
          <w:szCs w:val="20"/>
          <w:lang w:val="sl-SI"/>
        </w:rPr>
      </w:pPr>
      <w:r w:rsidRPr="00B53505">
        <w:rPr>
          <w:rFonts w:cs="Arial"/>
          <w:b/>
          <w:szCs w:val="20"/>
          <w:lang w:val="sl-SI"/>
        </w:rPr>
        <w:t>(odmerjanje sankcij)</w:t>
      </w:r>
    </w:p>
    <w:p w14:paraId="33FBF104" w14:textId="77777777" w:rsidR="00B53505" w:rsidRPr="00B53505" w:rsidRDefault="00B53505" w:rsidP="00B53505">
      <w:pPr>
        <w:suppressAutoHyphens/>
        <w:overflowPunct w:val="0"/>
        <w:autoSpaceDE w:val="0"/>
        <w:autoSpaceDN w:val="0"/>
        <w:adjustRightInd w:val="0"/>
        <w:spacing w:line="240" w:lineRule="auto"/>
        <w:jc w:val="center"/>
        <w:textAlignment w:val="baseline"/>
        <w:rPr>
          <w:rFonts w:cs="Arial"/>
          <w:b/>
          <w:szCs w:val="20"/>
          <w:lang w:val="sl-SI"/>
        </w:rPr>
      </w:pPr>
    </w:p>
    <w:p w14:paraId="6359F44D" w14:textId="77777777" w:rsidR="00B53505" w:rsidRPr="00B53505" w:rsidRDefault="00B53505" w:rsidP="00B53505">
      <w:pPr>
        <w:pStyle w:val="Odstavekseznama"/>
        <w:ind w:left="0"/>
        <w:jc w:val="both"/>
        <w:rPr>
          <w:szCs w:val="20"/>
          <w:lang w:val="sl-SI"/>
        </w:rPr>
      </w:pPr>
      <w:r w:rsidRPr="00B53505">
        <w:rPr>
          <w:szCs w:val="20"/>
          <w:lang w:val="sl-SI"/>
        </w:rPr>
        <w:t>Poleg splošnih pravil za odmero sankcije iz zakona, ki ureja prekrške, se pri odločanju nadzornega organa o višini izrečene globe za kršitve iz 17. do 23. člena tega zakona upošteva tudi merila iz drugega odstavka 34. člena Uredbe 2022/868/EU.</w:t>
      </w:r>
    </w:p>
    <w:p w14:paraId="0CFE239D" w14:textId="77777777" w:rsidR="00B53505" w:rsidRPr="00B53505" w:rsidRDefault="00B53505" w:rsidP="00B53505">
      <w:pPr>
        <w:rPr>
          <w:lang w:val="sl-SI"/>
        </w:rPr>
      </w:pPr>
    </w:p>
    <w:p w14:paraId="0CA8F842" w14:textId="77777777" w:rsidR="00B53505" w:rsidRPr="00B53505" w:rsidRDefault="00B53505" w:rsidP="00B53505">
      <w:pPr>
        <w:rPr>
          <w:lang w:val="sl-SI"/>
        </w:rPr>
      </w:pPr>
    </w:p>
    <w:p w14:paraId="4948B49F" w14:textId="77777777" w:rsidR="00B53505" w:rsidRPr="00B53505" w:rsidRDefault="00B53505" w:rsidP="00B53505">
      <w:pPr>
        <w:suppressAutoHyphens/>
        <w:overflowPunct w:val="0"/>
        <w:autoSpaceDE w:val="0"/>
        <w:autoSpaceDN w:val="0"/>
        <w:adjustRightInd w:val="0"/>
        <w:spacing w:line="240" w:lineRule="auto"/>
        <w:jc w:val="center"/>
        <w:textAlignment w:val="baseline"/>
        <w:rPr>
          <w:rFonts w:cs="Arial"/>
          <w:b/>
          <w:szCs w:val="20"/>
          <w:lang w:val="sl-SI"/>
        </w:rPr>
      </w:pPr>
      <w:r w:rsidRPr="00B53505">
        <w:rPr>
          <w:rFonts w:cs="Arial"/>
          <w:b/>
          <w:szCs w:val="20"/>
          <w:lang w:val="sl-SI"/>
        </w:rPr>
        <w:t>25. člen</w:t>
      </w:r>
    </w:p>
    <w:p w14:paraId="05461DE5" w14:textId="77777777" w:rsidR="00B53505" w:rsidRPr="00B53505" w:rsidRDefault="00B53505" w:rsidP="00B53505">
      <w:pPr>
        <w:suppressAutoHyphens/>
        <w:overflowPunct w:val="0"/>
        <w:autoSpaceDE w:val="0"/>
        <w:autoSpaceDN w:val="0"/>
        <w:adjustRightInd w:val="0"/>
        <w:spacing w:line="240" w:lineRule="auto"/>
        <w:jc w:val="center"/>
        <w:textAlignment w:val="baseline"/>
        <w:rPr>
          <w:rFonts w:cs="Arial"/>
          <w:b/>
          <w:szCs w:val="20"/>
          <w:lang w:val="sl-SI"/>
        </w:rPr>
      </w:pPr>
      <w:r w:rsidRPr="00B53505">
        <w:rPr>
          <w:rFonts w:cs="Arial"/>
          <w:b/>
          <w:szCs w:val="20"/>
          <w:lang w:val="sl-SI"/>
        </w:rPr>
        <w:t>(višina globe v hitrem prekrškovnem postopku)</w:t>
      </w:r>
    </w:p>
    <w:p w14:paraId="6DF57D68" w14:textId="77777777" w:rsidR="00B53505" w:rsidRPr="00B53505" w:rsidRDefault="00B53505" w:rsidP="00B53505">
      <w:pPr>
        <w:rPr>
          <w:lang w:val="sl-SI"/>
        </w:rPr>
      </w:pPr>
    </w:p>
    <w:p w14:paraId="7DD8E6DA" w14:textId="77777777" w:rsidR="00B53505" w:rsidRPr="00B53505" w:rsidRDefault="00B53505" w:rsidP="00B53505">
      <w:pPr>
        <w:jc w:val="both"/>
        <w:rPr>
          <w:lang w:val="sl-SI"/>
        </w:rPr>
      </w:pPr>
      <w:r w:rsidRPr="00B53505">
        <w:rPr>
          <w:lang w:val="sl-SI"/>
        </w:rPr>
        <w:t>Za prekrške iz tega zakona se sme v hitrem prekrškovnem postopku izreči globa tudi v znesku, ki je višji od najnižje predpisane globe, določene s tem zakonom.</w:t>
      </w:r>
    </w:p>
    <w:p w14:paraId="051D44F1" w14:textId="77777777" w:rsidR="00B53505" w:rsidRPr="00B53505" w:rsidRDefault="00B53505" w:rsidP="00B53505">
      <w:pPr>
        <w:overflowPunct w:val="0"/>
        <w:autoSpaceDE w:val="0"/>
        <w:autoSpaceDN w:val="0"/>
        <w:adjustRightInd w:val="0"/>
        <w:spacing w:line="240" w:lineRule="auto"/>
        <w:jc w:val="both"/>
        <w:textAlignment w:val="baseline"/>
        <w:rPr>
          <w:rFonts w:cs="Arial"/>
          <w:szCs w:val="20"/>
          <w:highlight w:val="yellow"/>
          <w:lang w:val="sl-SI"/>
        </w:rPr>
      </w:pPr>
    </w:p>
    <w:p w14:paraId="4EEA7BE2" w14:textId="77777777" w:rsidR="00B53505" w:rsidRPr="00B53505" w:rsidRDefault="00B53505" w:rsidP="00B53505">
      <w:pPr>
        <w:rPr>
          <w:lang w:val="sl-SI"/>
        </w:rPr>
      </w:pPr>
    </w:p>
    <w:p w14:paraId="149F7EFF" w14:textId="77777777" w:rsidR="00B53505" w:rsidRPr="00B53505" w:rsidRDefault="00B53505" w:rsidP="00B53505">
      <w:pPr>
        <w:overflowPunct w:val="0"/>
        <w:autoSpaceDE w:val="0"/>
        <w:autoSpaceDN w:val="0"/>
        <w:adjustRightInd w:val="0"/>
        <w:spacing w:line="240" w:lineRule="auto"/>
        <w:jc w:val="center"/>
        <w:textAlignment w:val="baseline"/>
        <w:rPr>
          <w:rFonts w:cs="Arial"/>
          <w:b/>
          <w:bCs/>
          <w:szCs w:val="20"/>
          <w:lang w:val="sl-SI"/>
        </w:rPr>
      </w:pPr>
      <w:r w:rsidRPr="00B53505">
        <w:rPr>
          <w:rFonts w:cs="Arial"/>
          <w:b/>
          <w:bCs/>
          <w:szCs w:val="20"/>
          <w:lang w:val="sl-SI"/>
        </w:rPr>
        <w:t>PREHODNI IN KONČNA DOLOČBA</w:t>
      </w:r>
    </w:p>
    <w:p w14:paraId="45D7B3B6" w14:textId="77777777" w:rsidR="00B53505" w:rsidRPr="00B53505" w:rsidRDefault="00B53505" w:rsidP="00B53505">
      <w:pPr>
        <w:suppressAutoHyphens/>
        <w:overflowPunct w:val="0"/>
        <w:autoSpaceDE w:val="0"/>
        <w:autoSpaceDN w:val="0"/>
        <w:adjustRightInd w:val="0"/>
        <w:spacing w:line="240" w:lineRule="auto"/>
        <w:jc w:val="center"/>
        <w:textAlignment w:val="baseline"/>
        <w:rPr>
          <w:rFonts w:cs="Arial"/>
          <w:b/>
          <w:szCs w:val="20"/>
          <w:lang w:val="sl-SI"/>
        </w:rPr>
      </w:pPr>
    </w:p>
    <w:p w14:paraId="7F1613FF" w14:textId="77777777" w:rsidR="00B53505" w:rsidRPr="00B53505" w:rsidRDefault="00B53505" w:rsidP="00B53505">
      <w:pPr>
        <w:suppressAutoHyphens/>
        <w:overflowPunct w:val="0"/>
        <w:autoSpaceDE w:val="0"/>
        <w:autoSpaceDN w:val="0"/>
        <w:adjustRightInd w:val="0"/>
        <w:spacing w:line="240" w:lineRule="auto"/>
        <w:jc w:val="center"/>
        <w:textAlignment w:val="baseline"/>
        <w:rPr>
          <w:rFonts w:cs="Arial"/>
          <w:b/>
          <w:szCs w:val="20"/>
          <w:lang w:val="sl-SI"/>
        </w:rPr>
      </w:pPr>
    </w:p>
    <w:p w14:paraId="0D0A1766" w14:textId="77777777" w:rsidR="00B53505" w:rsidRPr="00B53505" w:rsidRDefault="00B53505" w:rsidP="00B53505">
      <w:pPr>
        <w:suppressAutoHyphens/>
        <w:overflowPunct w:val="0"/>
        <w:autoSpaceDE w:val="0"/>
        <w:autoSpaceDN w:val="0"/>
        <w:adjustRightInd w:val="0"/>
        <w:spacing w:line="240" w:lineRule="auto"/>
        <w:jc w:val="center"/>
        <w:textAlignment w:val="baseline"/>
        <w:rPr>
          <w:rFonts w:cs="Arial"/>
          <w:b/>
          <w:szCs w:val="20"/>
          <w:lang w:val="sl-SI"/>
        </w:rPr>
      </w:pPr>
      <w:r w:rsidRPr="00B53505">
        <w:rPr>
          <w:rFonts w:cs="Arial"/>
          <w:b/>
          <w:szCs w:val="20"/>
          <w:lang w:val="sl-SI"/>
        </w:rPr>
        <w:t>26. člen</w:t>
      </w:r>
    </w:p>
    <w:p w14:paraId="57305DF9" w14:textId="77777777" w:rsidR="00B53505" w:rsidRPr="00B53505" w:rsidRDefault="00B53505" w:rsidP="00B53505">
      <w:pPr>
        <w:suppressAutoHyphens/>
        <w:overflowPunct w:val="0"/>
        <w:autoSpaceDE w:val="0"/>
        <w:autoSpaceDN w:val="0"/>
        <w:adjustRightInd w:val="0"/>
        <w:spacing w:line="240" w:lineRule="auto"/>
        <w:jc w:val="center"/>
        <w:textAlignment w:val="baseline"/>
        <w:rPr>
          <w:rFonts w:cs="Arial"/>
          <w:b/>
          <w:szCs w:val="20"/>
          <w:lang w:val="sl-SI"/>
        </w:rPr>
      </w:pPr>
      <w:r w:rsidRPr="00B53505">
        <w:rPr>
          <w:rFonts w:cs="Arial"/>
          <w:b/>
          <w:szCs w:val="20"/>
          <w:lang w:val="sl-SI"/>
        </w:rPr>
        <w:t>(izdaja podzakonskih aktov)</w:t>
      </w:r>
    </w:p>
    <w:p w14:paraId="759202F4" w14:textId="77777777" w:rsidR="00B53505" w:rsidRPr="00B53505" w:rsidRDefault="00B53505" w:rsidP="00B53505">
      <w:pPr>
        <w:jc w:val="both"/>
        <w:rPr>
          <w:lang w:val="sl-SI"/>
        </w:rPr>
      </w:pPr>
    </w:p>
    <w:p w14:paraId="7D884140" w14:textId="77777777" w:rsidR="00B53505" w:rsidRPr="00B53505" w:rsidRDefault="00B53505" w:rsidP="00B53505">
      <w:pPr>
        <w:jc w:val="both"/>
        <w:rPr>
          <w:lang w:val="sl-SI"/>
        </w:rPr>
      </w:pPr>
      <w:bookmarkStart w:id="18" w:name="_Hlk155954910"/>
      <w:r w:rsidRPr="00B53505">
        <w:rPr>
          <w:lang w:val="sl-SI"/>
        </w:rPr>
        <w:t>(1) Vlada izda predpis iz drugega odstavka 9. člena tega zakona v šestih mesecih od uveljavitve tega zakona.</w:t>
      </w:r>
    </w:p>
    <w:p w14:paraId="6F3C22C4" w14:textId="77777777" w:rsidR="00B53505" w:rsidRPr="00B53505" w:rsidRDefault="00B53505" w:rsidP="00B53505">
      <w:pPr>
        <w:jc w:val="both"/>
        <w:rPr>
          <w:lang w:val="sl-SI"/>
        </w:rPr>
      </w:pPr>
    </w:p>
    <w:p w14:paraId="710EB668" w14:textId="77777777" w:rsidR="00B53505" w:rsidRPr="00B53505" w:rsidRDefault="00B53505" w:rsidP="00B53505">
      <w:pPr>
        <w:jc w:val="both"/>
        <w:rPr>
          <w:lang w:val="sl-SI"/>
        </w:rPr>
      </w:pPr>
      <w:r w:rsidRPr="00B53505">
        <w:rPr>
          <w:lang w:val="sl-SI"/>
        </w:rPr>
        <w:t xml:space="preserve">(2) Vlada v šestih mesecih po uveljavitvi tega zakona uskladi </w:t>
      </w:r>
      <w:bookmarkStart w:id="19" w:name="_Hlk156307612"/>
      <w:r w:rsidRPr="00B53505">
        <w:rPr>
          <w:lang w:val="sl-SI"/>
        </w:rPr>
        <w:t>Uredbo o posredovanju in ponovni uporabi informacij javnega značaja (Uradni list RS, št. 24/16 in 146/22)</w:t>
      </w:r>
      <w:bookmarkEnd w:id="19"/>
      <w:r w:rsidRPr="00B53505">
        <w:rPr>
          <w:lang w:val="sl-SI"/>
        </w:rPr>
        <w:t xml:space="preserve"> z drugim odstavkom 2. člena tega zakona.</w:t>
      </w:r>
    </w:p>
    <w:p w14:paraId="5C78A1B3" w14:textId="77777777" w:rsidR="00B53505" w:rsidRPr="00B53505" w:rsidRDefault="00B53505" w:rsidP="00B53505">
      <w:pPr>
        <w:jc w:val="both"/>
        <w:rPr>
          <w:lang w:val="sl-SI"/>
        </w:rPr>
      </w:pPr>
    </w:p>
    <w:p w14:paraId="1AE03BDA" w14:textId="77777777" w:rsidR="00B53505" w:rsidRPr="00B53505" w:rsidRDefault="00B53505" w:rsidP="00B53505">
      <w:pPr>
        <w:jc w:val="both"/>
        <w:rPr>
          <w:lang w:val="sl-SI"/>
        </w:rPr>
      </w:pPr>
      <w:r w:rsidRPr="00B53505">
        <w:rPr>
          <w:lang w:val="sl-SI"/>
        </w:rPr>
        <w:t>(3) Minister izda predpis iz tretjega odstavka 9. člena tega zakona v šestih mesecih od uveljavitve tega zakona.</w:t>
      </w:r>
    </w:p>
    <w:bookmarkEnd w:id="18"/>
    <w:p w14:paraId="2764DC49" w14:textId="77777777" w:rsidR="00B53505" w:rsidRPr="00B53505" w:rsidRDefault="00B53505" w:rsidP="00B53505">
      <w:pPr>
        <w:jc w:val="both"/>
        <w:rPr>
          <w:lang w:val="sl-SI"/>
        </w:rPr>
      </w:pPr>
    </w:p>
    <w:p w14:paraId="636397F0" w14:textId="77777777" w:rsidR="00B53505" w:rsidRPr="00B53505" w:rsidRDefault="00B53505" w:rsidP="00B53505">
      <w:pPr>
        <w:jc w:val="center"/>
        <w:rPr>
          <w:b/>
          <w:bCs/>
          <w:lang w:val="sl-SI"/>
        </w:rPr>
      </w:pPr>
    </w:p>
    <w:p w14:paraId="7EC8AD99" w14:textId="77777777" w:rsidR="00B53505" w:rsidRPr="00B53505" w:rsidRDefault="00B53505" w:rsidP="00B53505">
      <w:pPr>
        <w:jc w:val="center"/>
        <w:rPr>
          <w:b/>
          <w:bCs/>
          <w:lang w:val="sl-SI"/>
        </w:rPr>
      </w:pPr>
      <w:r w:rsidRPr="00B53505">
        <w:rPr>
          <w:b/>
          <w:bCs/>
          <w:lang w:val="sl-SI"/>
        </w:rPr>
        <w:t>27. člen</w:t>
      </w:r>
    </w:p>
    <w:p w14:paraId="73B8B77F" w14:textId="77777777" w:rsidR="00B53505" w:rsidRPr="00B53505" w:rsidRDefault="00B53505" w:rsidP="00B53505">
      <w:pPr>
        <w:jc w:val="center"/>
        <w:rPr>
          <w:b/>
          <w:bCs/>
          <w:lang w:val="sl-SI"/>
        </w:rPr>
      </w:pPr>
      <w:r w:rsidRPr="00B53505">
        <w:rPr>
          <w:b/>
          <w:bCs/>
          <w:lang w:val="sl-SI"/>
        </w:rPr>
        <w:t>(delegirani akti)</w:t>
      </w:r>
    </w:p>
    <w:p w14:paraId="10647927" w14:textId="77777777" w:rsidR="00B53505" w:rsidRPr="00B53505" w:rsidRDefault="00B53505" w:rsidP="00B53505">
      <w:pPr>
        <w:jc w:val="center"/>
        <w:rPr>
          <w:lang w:val="sl-SI"/>
        </w:rPr>
      </w:pPr>
    </w:p>
    <w:p w14:paraId="798883F0" w14:textId="77777777" w:rsidR="00B53505" w:rsidRPr="00B53505" w:rsidRDefault="00B53505" w:rsidP="00B53505">
      <w:pPr>
        <w:jc w:val="both"/>
        <w:rPr>
          <w:lang w:val="sl-SI"/>
        </w:rPr>
      </w:pPr>
      <w:r w:rsidRPr="00B53505">
        <w:rPr>
          <w:lang w:val="sl-SI"/>
        </w:rPr>
        <w:t>(1) 23. člen tega zakona se začne uporabljati 18 mesecev po začetku veljavnosti delegiranih aktov, ki jih v skladu s prvim odstavkom 22. člena Uredbe 2022/868/EU sprejme Evropska komisija.</w:t>
      </w:r>
    </w:p>
    <w:p w14:paraId="053A85ED" w14:textId="77777777" w:rsidR="00B53505" w:rsidRPr="00B53505" w:rsidRDefault="00B53505" w:rsidP="00B53505">
      <w:pPr>
        <w:jc w:val="both"/>
        <w:rPr>
          <w:lang w:val="sl-SI"/>
        </w:rPr>
      </w:pPr>
    </w:p>
    <w:p w14:paraId="313092C4" w14:textId="77777777" w:rsidR="00B53505" w:rsidRPr="00B53505" w:rsidRDefault="00B53505" w:rsidP="00B53505">
      <w:pPr>
        <w:jc w:val="both"/>
        <w:rPr>
          <w:lang w:val="sl-SI"/>
        </w:rPr>
      </w:pPr>
      <w:r w:rsidRPr="00B53505">
        <w:rPr>
          <w:lang w:val="sl-SI"/>
        </w:rPr>
        <w:t xml:space="preserve">(2) Minister objavi dan začetka veljavnosti aktov iz prejšnjega odstavka v Uradnem listu Republike Slovenije. </w:t>
      </w:r>
    </w:p>
    <w:p w14:paraId="2F7B2F7D" w14:textId="77777777" w:rsidR="00B53505" w:rsidRPr="00B53505" w:rsidRDefault="00B53505" w:rsidP="00B53505">
      <w:pPr>
        <w:suppressAutoHyphens/>
        <w:overflowPunct w:val="0"/>
        <w:autoSpaceDE w:val="0"/>
        <w:autoSpaceDN w:val="0"/>
        <w:adjustRightInd w:val="0"/>
        <w:spacing w:line="240" w:lineRule="auto"/>
        <w:jc w:val="center"/>
        <w:textAlignment w:val="baseline"/>
        <w:rPr>
          <w:rFonts w:cs="Arial"/>
          <w:b/>
          <w:szCs w:val="20"/>
          <w:lang w:val="sl-SI"/>
        </w:rPr>
      </w:pPr>
    </w:p>
    <w:p w14:paraId="23D9906D" w14:textId="77777777" w:rsidR="00B53505" w:rsidRPr="00B53505" w:rsidRDefault="00B53505" w:rsidP="00B53505">
      <w:pPr>
        <w:suppressAutoHyphens/>
        <w:overflowPunct w:val="0"/>
        <w:autoSpaceDE w:val="0"/>
        <w:autoSpaceDN w:val="0"/>
        <w:adjustRightInd w:val="0"/>
        <w:spacing w:line="240" w:lineRule="auto"/>
        <w:jc w:val="center"/>
        <w:textAlignment w:val="baseline"/>
        <w:rPr>
          <w:rFonts w:cs="Arial"/>
          <w:b/>
          <w:szCs w:val="20"/>
          <w:lang w:val="sl-SI"/>
        </w:rPr>
      </w:pPr>
    </w:p>
    <w:p w14:paraId="6C865A0C" w14:textId="77777777" w:rsidR="00B53505" w:rsidRPr="00B53505" w:rsidRDefault="00B53505" w:rsidP="00B53505">
      <w:pPr>
        <w:suppressAutoHyphens/>
        <w:overflowPunct w:val="0"/>
        <w:autoSpaceDE w:val="0"/>
        <w:autoSpaceDN w:val="0"/>
        <w:adjustRightInd w:val="0"/>
        <w:spacing w:line="240" w:lineRule="auto"/>
        <w:jc w:val="center"/>
        <w:textAlignment w:val="baseline"/>
        <w:rPr>
          <w:rFonts w:cs="Arial"/>
          <w:b/>
          <w:szCs w:val="20"/>
          <w:lang w:val="sl-SI"/>
        </w:rPr>
      </w:pPr>
      <w:r w:rsidRPr="00B53505">
        <w:rPr>
          <w:rFonts w:cs="Arial"/>
          <w:b/>
          <w:szCs w:val="20"/>
          <w:lang w:val="sl-SI"/>
        </w:rPr>
        <w:t>28. člen</w:t>
      </w:r>
    </w:p>
    <w:p w14:paraId="79395DE4" w14:textId="77777777" w:rsidR="00B53505" w:rsidRPr="00B53505" w:rsidRDefault="00B53505" w:rsidP="00B53505">
      <w:pPr>
        <w:suppressAutoHyphens/>
        <w:overflowPunct w:val="0"/>
        <w:autoSpaceDE w:val="0"/>
        <w:autoSpaceDN w:val="0"/>
        <w:adjustRightInd w:val="0"/>
        <w:spacing w:line="240" w:lineRule="auto"/>
        <w:jc w:val="center"/>
        <w:textAlignment w:val="baseline"/>
        <w:rPr>
          <w:rFonts w:cs="Arial"/>
          <w:b/>
          <w:szCs w:val="20"/>
          <w:lang w:val="sl-SI"/>
        </w:rPr>
      </w:pPr>
      <w:r w:rsidRPr="00B53505">
        <w:rPr>
          <w:rFonts w:cs="Arial"/>
          <w:b/>
          <w:szCs w:val="20"/>
          <w:lang w:val="sl-SI"/>
        </w:rPr>
        <w:t>(začetek veljavnosti)</w:t>
      </w:r>
    </w:p>
    <w:p w14:paraId="28D3E472" w14:textId="77777777" w:rsidR="00B53505" w:rsidRPr="00B53505" w:rsidRDefault="00B53505" w:rsidP="00B53505">
      <w:pPr>
        <w:suppressAutoHyphens/>
        <w:overflowPunct w:val="0"/>
        <w:autoSpaceDE w:val="0"/>
        <w:autoSpaceDN w:val="0"/>
        <w:adjustRightInd w:val="0"/>
        <w:spacing w:line="240" w:lineRule="auto"/>
        <w:jc w:val="center"/>
        <w:textAlignment w:val="baseline"/>
        <w:rPr>
          <w:rFonts w:cs="Arial"/>
          <w:b/>
          <w:szCs w:val="20"/>
          <w:lang w:val="sl-SI"/>
        </w:rPr>
      </w:pPr>
    </w:p>
    <w:p w14:paraId="63EFC38D" w14:textId="77777777" w:rsidR="00B53505" w:rsidRPr="00B53505" w:rsidRDefault="00B53505" w:rsidP="00B53505">
      <w:pPr>
        <w:overflowPunct w:val="0"/>
        <w:autoSpaceDE w:val="0"/>
        <w:autoSpaceDN w:val="0"/>
        <w:adjustRightInd w:val="0"/>
        <w:spacing w:line="240" w:lineRule="auto"/>
        <w:jc w:val="both"/>
        <w:textAlignment w:val="baseline"/>
        <w:rPr>
          <w:rFonts w:cs="Arial"/>
          <w:szCs w:val="20"/>
          <w:lang w:val="sl-SI"/>
        </w:rPr>
      </w:pPr>
      <w:r w:rsidRPr="00B53505">
        <w:rPr>
          <w:rFonts w:cs="Arial"/>
          <w:szCs w:val="20"/>
          <w:lang w:val="sl-SI"/>
        </w:rPr>
        <w:t>Ta zakon začne veljati petnajsti dan po objavi v Uradnem listu Republike Slovenije.</w:t>
      </w:r>
    </w:p>
    <w:p w14:paraId="002DE5C6" w14:textId="77777777" w:rsidR="00B53505" w:rsidRPr="00B53505" w:rsidRDefault="00B53505" w:rsidP="00B53505">
      <w:pPr>
        <w:overflowPunct w:val="0"/>
        <w:autoSpaceDE w:val="0"/>
        <w:autoSpaceDN w:val="0"/>
        <w:adjustRightInd w:val="0"/>
        <w:spacing w:line="240" w:lineRule="auto"/>
        <w:jc w:val="both"/>
        <w:textAlignment w:val="baseline"/>
        <w:rPr>
          <w:rFonts w:cs="Arial"/>
          <w:szCs w:val="20"/>
          <w:lang w:val="sl-SI"/>
        </w:rPr>
      </w:pPr>
    </w:p>
    <w:p w14:paraId="7BD47F78" w14:textId="77777777" w:rsidR="00B53505" w:rsidRPr="00B53505" w:rsidRDefault="00B53505" w:rsidP="00B53505">
      <w:pPr>
        <w:overflowPunct w:val="0"/>
        <w:autoSpaceDE w:val="0"/>
        <w:autoSpaceDN w:val="0"/>
        <w:adjustRightInd w:val="0"/>
        <w:spacing w:line="240" w:lineRule="auto"/>
        <w:jc w:val="both"/>
        <w:textAlignment w:val="baseline"/>
        <w:rPr>
          <w:rFonts w:cs="Arial"/>
          <w:szCs w:val="20"/>
          <w:lang w:val="sl-SI"/>
        </w:rPr>
      </w:pPr>
    </w:p>
    <w:p w14:paraId="222B14AF" w14:textId="77777777" w:rsidR="00B53505" w:rsidRPr="00B53505" w:rsidRDefault="00B53505" w:rsidP="00B53505">
      <w:pPr>
        <w:overflowPunct w:val="0"/>
        <w:autoSpaceDE w:val="0"/>
        <w:autoSpaceDN w:val="0"/>
        <w:adjustRightInd w:val="0"/>
        <w:spacing w:line="240" w:lineRule="auto"/>
        <w:jc w:val="both"/>
        <w:textAlignment w:val="baseline"/>
        <w:rPr>
          <w:rFonts w:cs="Arial"/>
          <w:szCs w:val="20"/>
          <w:lang w:val="sl-SI"/>
        </w:rPr>
      </w:pPr>
    </w:p>
    <w:p w14:paraId="69C549A0" w14:textId="77777777" w:rsidR="00B53505" w:rsidRPr="00B53505" w:rsidRDefault="00B53505" w:rsidP="00B53505">
      <w:pPr>
        <w:spacing w:line="240" w:lineRule="auto"/>
        <w:jc w:val="both"/>
        <w:rPr>
          <w:rFonts w:cs="Arial"/>
          <w:snapToGrid w:val="0"/>
          <w:color w:val="000000"/>
          <w:szCs w:val="20"/>
          <w:lang w:val="sl-SI" w:eastAsia="sl-SI"/>
        </w:rPr>
      </w:pPr>
      <w:r w:rsidRPr="00B53505">
        <w:rPr>
          <w:rFonts w:cs="Arial"/>
          <w:snapToGrid w:val="0"/>
          <w:color w:val="000000"/>
          <w:szCs w:val="20"/>
          <w:lang w:val="sl-SI" w:eastAsia="sl-SI"/>
        </w:rPr>
        <w:t>Št.……………..</w:t>
      </w:r>
    </w:p>
    <w:p w14:paraId="50A666FA" w14:textId="77777777" w:rsidR="00B53505" w:rsidRPr="00B53505" w:rsidRDefault="00B53505" w:rsidP="00B53505">
      <w:pPr>
        <w:overflowPunct w:val="0"/>
        <w:autoSpaceDE w:val="0"/>
        <w:autoSpaceDN w:val="0"/>
        <w:adjustRightInd w:val="0"/>
        <w:spacing w:line="240" w:lineRule="auto"/>
        <w:jc w:val="both"/>
        <w:textAlignment w:val="baseline"/>
        <w:rPr>
          <w:rFonts w:cs="Arial"/>
          <w:snapToGrid w:val="0"/>
          <w:color w:val="000000"/>
          <w:szCs w:val="20"/>
          <w:lang w:val="sl-SI" w:eastAsia="sl-SI"/>
        </w:rPr>
      </w:pPr>
      <w:r w:rsidRPr="00B53505">
        <w:rPr>
          <w:rFonts w:cs="Arial"/>
          <w:snapToGrid w:val="0"/>
          <w:color w:val="000000"/>
          <w:szCs w:val="20"/>
          <w:lang w:val="sl-SI" w:eastAsia="sl-SI"/>
        </w:rPr>
        <w:t>Ljubljana, dne ………..</w:t>
      </w:r>
    </w:p>
    <w:p w14:paraId="1AC95539" w14:textId="77777777" w:rsidR="00B53505" w:rsidRPr="00B53505" w:rsidRDefault="00B53505" w:rsidP="00B53505">
      <w:pPr>
        <w:overflowPunct w:val="0"/>
        <w:autoSpaceDE w:val="0"/>
        <w:autoSpaceDN w:val="0"/>
        <w:adjustRightInd w:val="0"/>
        <w:spacing w:line="240" w:lineRule="auto"/>
        <w:jc w:val="both"/>
        <w:textAlignment w:val="baseline"/>
        <w:rPr>
          <w:rFonts w:cs="Arial"/>
          <w:szCs w:val="20"/>
          <w:lang w:val="sl-SI" w:eastAsia="sl-SI"/>
        </w:rPr>
      </w:pPr>
      <w:r w:rsidRPr="00B53505">
        <w:rPr>
          <w:rFonts w:cs="Arial"/>
          <w:szCs w:val="20"/>
          <w:lang w:val="sl-SI" w:eastAsia="sl-SI"/>
        </w:rPr>
        <w:t>EVA 2024-3150-0002</w:t>
      </w:r>
    </w:p>
    <w:p w14:paraId="38D71B5D" w14:textId="77777777" w:rsidR="00B53505" w:rsidRPr="00B53505" w:rsidRDefault="00B53505" w:rsidP="00B53505">
      <w:pPr>
        <w:overflowPunct w:val="0"/>
        <w:autoSpaceDE w:val="0"/>
        <w:autoSpaceDN w:val="0"/>
        <w:adjustRightInd w:val="0"/>
        <w:spacing w:line="240" w:lineRule="auto"/>
        <w:jc w:val="both"/>
        <w:textAlignment w:val="baseline"/>
        <w:rPr>
          <w:rFonts w:cs="Arial"/>
          <w:szCs w:val="20"/>
          <w:lang w:val="sl-SI" w:eastAsia="sl-SI"/>
        </w:rPr>
      </w:pPr>
    </w:p>
    <w:p w14:paraId="6A32DDEC" w14:textId="2F418658" w:rsidR="007A7496" w:rsidRPr="00B53505" w:rsidRDefault="007A7496" w:rsidP="00694DC1">
      <w:pPr>
        <w:spacing w:line="240" w:lineRule="atLeast"/>
        <w:rPr>
          <w:rFonts w:cs="Arial"/>
          <w:szCs w:val="20"/>
          <w:lang w:val="sl-SI"/>
        </w:rPr>
      </w:pPr>
    </w:p>
    <w:p w14:paraId="40B31F8F" w14:textId="77777777" w:rsidR="00581496" w:rsidRPr="00581496" w:rsidRDefault="00581496">
      <w:pPr>
        <w:spacing w:line="240" w:lineRule="auto"/>
        <w:rPr>
          <w:rFonts w:cs="Arial"/>
          <w:b/>
          <w:bCs/>
          <w:szCs w:val="20"/>
          <w:lang w:val="sl-SI"/>
        </w:rPr>
      </w:pPr>
      <w:bookmarkStart w:id="20" w:name="_Hlk136350711"/>
      <w:r w:rsidRPr="00581496">
        <w:rPr>
          <w:rFonts w:cs="Arial"/>
          <w:b/>
          <w:bCs/>
          <w:szCs w:val="20"/>
          <w:lang w:val="sl-SI"/>
        </w:rPr>
        <w:br w:type="page"/>
      </w:r>
    </w:p>
    <w:p w14:paraId="3C789F38" w14:textId="67D064AD" w:rsidR="007A7496" w:rsidRPr="00581496" w:rsidRDefault="00214594" w:rsidP="00694DC1">
      <w:pPr>
        <w:spacing w:line="240" w:lineRule="atLeast"/>
        <w:jc w:val="both"/>
        <w:rPr>
          <w:rFonts w:cs="Arial"/>
          <w:b/>
          <w:bCs/>
          <w:szCs w:val="20"/>
          <w:lang w:val="sl-SI"/>
        </w:rPr>
      </w:pPr>
      <w:r w:rsidRPr="00581496">
        <w:rPr>
          <w:rFonts w:cs="Arial"/>
          <w:b/>
          <w:bCs/>
          <w:szCs w:val="20"/>
          <w:lang w:val="sl-SI"/>
        </w:rPr>
        <w:t xml:space="preserve">III. </w:t>
      </w:r>
      <w:r w:rsidR="007A7496" w:rsidRPr="00581496">
        <w:rPr>
          <w:rFonts w:cs="Arial"/>
          <w:b/>
          <w:bCs/>
          <w:szCs w:val="20"/>
          <w:lang w:val="sl-SI"/>
        </w:rPr>
        <w:t>OBRAZLOŽIT</w:t>
      </w:r>
      <w:r w:rsidRPr="00581496">
        <w:rPr>
          <w:rFonts w:cs="Arial"/>
          <w:b/>
          <w:bCs/>
          <w:szCs w:val="20"/>
          <w:lang w:val="sl-SI"/>
        </w:rPr>
        <w:t>E</w:t>
      </w:r>
      <w:r w:rsidR="007A7496" w:rsidRPr="00581496">
        <w:rPr>
          <w:rFonts w:cs="Arial"/>
          <w:b/>
          <w:bCs/>
          <w:szCs w:val="20"/>
          <w:lang w:val="sl-SI"/>
        </w:rPr>
        <w:t>V</w:t>
      </w:r>
    </w:p>
    <w:p w14:paraId="0EB939C3" w14:textId="77777777" w:rsidR="00A53F19" w:rsidRPr="00581496" w:rsidRDefault="00A53F19" w:rsidP="00694DC1">
      <w:pPr>
        <w:spacing w:line="240" w:lineRule="atLeast"/>
        <w:jc w:val="both"/>
        <w:rPr>
          <w:rFonts w:cs="Arial"/>
          <w:b/>
          <w:bCs/>
          <w:szCs w:val="20"/>
          <w:lang w:val="sl-SI"/>
        </w:rPr>
      </w:pPr>
    </w:p>
    <w:bookmarkEnd w:id="20"/>
    <w:p w14:paraId="04C37502" w14:textId="77777777" w:rsidR="00581496" w:rsidRPr="00581496" w:rsidRDefault="00581496" w:rsidP="00581496">
      <w:pPr>
        <w:suppressAutoHyphens/>
        <w:overflowPunct w:val="0"/>
        <w:autoSpaceDE w:val="0"/>
        <w:autoSpaceDN w:val="0"/>
        <w:adjustRightInd w:val="0"/>
        <w:spacing w:line="276" w:lineRule="auto"/>
        <w:jc w:val="both"/>
        <w:textAlignment w:val="baseline"/>
        <w:rPr>
          <w:rFonts w:cs="Arial"/>
          <w:b/>
          <w:szCs w:val="20"/>
          <w:lang w:val="sl-SI"/>
        </w:rPr>
      </w:pPr>
      <w:r w:rsidRPr="00581496">
        <w:rPr>
          <w:rFonts w:cs="Arial"/>
          <w:b/>
          <w:szCs w:val="20"/>
          <w:lang w:val="sl-SI"/>
        </w:rPr>
        <w:t>K 1. členu (vsebina):</w:t>
      </w:r>
    </w:p>
    <w:p w14:paraId="596C7B5B" w14:textId="77777777" w:rsidR="00581496" w:rsidRPr="00581496" w:rsidRDefault="00581496" w:rsidP="00581496">
      <w:pPr>
        <w:spacing w:line="276" w:lineRule="auto"/>
        <w:jc w:val="both"/>
        <w:rPr>
          <w:rFonts w:cs="Arial"/>
          <w:szCs w:val="20"/>
          <w:lang w:val="sl-SI"/>
        </w:rPr>
      </w:pPr>
      <w:r w:rsidRPr="00581496">
        <w:rPr>
          <w:rFonts w:cs="Arial"/>
          <w:szCs w:val="20"/>
          <w:lang w:val="sl-SI"/>
        </w:rPr>
        <w:t xml:space="preserve">S predlogom tega zakona se ureja izvajanje Uredbe (EU) 2022/868 Evropskega parlamenta in Sveta z dne 30. maja 2022 o evropskem upravljanju podatkov in spremembi Uredbe (EU) 2018/1724 (UL L št. 152 z dne 3. junija 2022, str. 1; v nadaljnjem besedilu: Uredba 2022/868/EU) ter se predvsem določa pristojne organe za izvajanje in nadzor nad izvajanjem Uredbe 2022/868/EU. V predlogu zakona so določeni tudi nadzorni ukrepi, prekrški in globe v zvezi z izvajanjem Uredbe 2022/868/EU. </w:t>
      </w:r>
    </w:p>
    <w:p w14:paraId="31C543A7" w14:textId="77777777" w:rsidR="00581496" w:rsidRPr="00581496" w:rsidRDefault="00581496" w:rsidP="00581496">
      <w:pPr>
        <w:spacing w:line="276" w:lineRule="auto"/>
        <w:jc w:val="both"/>
        <w:rPr>
          <w:rFonts w:cs="Arial"/>
          <w:b/>
          <w:bCs/>
          <w:szCs w:val="20"/>
          <w:lang w:val="sl-SI"/>
        </w:rPr>
      </w:pPr>
    </w:p>
    <w:p w14:paraId="77C11F3A" w14:textId="77777777" w:rsidR="00581496" w:rsidRPr="00581496" w:rsidRDefault="00581496" w:rsidP="00581496">
      <w:pPr>
        <w:suppressAutoHyphens/>
        <w:overflowPunct w:val="0"/>
        <w:autoSpaceDE w:val="0"/>
        <w:autoSpaceDN w:val="0"/>
        <w:adjustRightInd w:val="0"/>
        <w:spacing w:line="276" w:lineRule="auto"/>
        <w:jc w:val="both"/>
        <w:textAlignment w:val="baseline"/>
        <w:rPr>
          <w:rFonts w:cs="Arial"/>
          <w:b/>
          <w:szCs w:val="20"/>
          <w:lang w:val="sl-SI"/>
        </w:rPr>
      </w:pPr>
      <w:r w:rsidRPr="00581496">
        <w:rPr>
          <w:rFonts w:cs="Arial"/>
          <w:b/>
          <w:szCs w:val="20"/>
          <w:lang w:val="sl-SI"/>
        </w:rPr>
        <w:t>K 2. členu (pristojni organ):</w:t>
      </w:r>
    </w:p>
    <w:p w14:paraId="46D7F1CD" w14:textId="77777777" w:rsidR="00581496" w:rsidRPr="00581496" w:rsidRDefault="00581496" w:rsidP="00581496">
      <w:pPr>
        <w:pStyle w:val="Odstavekseznama"/>
        <w:spacing w:line="276" w:lineRule="auto"/>
        <w:ind w:left="0"/>
        <w:jc w:val="both"/>
        <w:rPr>
          <w:szCs w:val="20"/>
          <w:lang w:val="sl-SI"/>
        </w:rPr>
      </w:pPr>
      <w:r w:rsidRPr="00581496">
        <w:rPr>
          <w:szCs w:val="20"/>
          <w:lang w:val="sl-SI"/>
        </w:rPr>
        <w:t>Vsaka država članica Evropske unije (v nadaljnjem besedilu: EU) mora za namene izvajanja nalog iz 7. člena Uredbe 2022/868/EU imenovati enega ali več pristojnih organov, ki so lahko pristojni za določen sektor, da pomagajo organom javnega sektorja, ki odobrijo ali zavrnejo dostop za ponovno uporabo kategorij podatkov iz prvega odstavka 3. člena Uredbe 2022/868/EU (v nadaljnjem besedilu: zaščitenih podatkov javnega sektorja). Države članice EU lahko ustanovijo enega ali več novih pristojnih organov ali pa se zanašajo na obstoječe organe javnega sektorja ali na notranje službe organov javnega sektorja, ki izpolnjujejo pogoje, določene v Uredbi 2022/868/EU. Pomoč, ki jo bo nudil pristojni organ iz 7. člena Uredbe 2022/868/EU, bo po potrebi vključevala:</w:t>
      </w:r>
    </w:p>
    <w:p w14:paraId="65641784" w14:textId="77777777" w:rsidR="00581496" w:rsidRPr="00581496" w:rsidRDefault="00581496" w:rsidP="00581496">
      <w:pPr>
        <w:pStyle w:val="Odstavekseznama"/>
        <w:numPr>
          <w:ilvl w:val="0"/>
          <w:numId w:val="42"/>
        </w:numPr>
        <w:spacing w:line="276" w:lineRule="auto"/>
        <w:contextualSpacing/>
        <w:jc w:val="both"/>
        <w:rPr>
          <w:szCs w:val="20"/>
          <w:lang w:val="sl-SI"/>
        </w:rPr>
      </w:pPr>
      <w:r w:rsidRPr="00581496">
        <w:rPr>
          <w:szCs w:val="20"/>
          <w:lang w:val="sl-SI"/>
        </w:rPr>
        <w:t>zagotavljanje tehnične podpore z dajanjem na voljo varnega okolja za obdelavo, v katerem se omogoči dostop za ponovno uporabo podatkov;</w:t>
      </w:r>
    </w:p>
    <w:p w14:paraId="4BE71F2F" w14:textId="77777777" w:rsidR="00581496" w:rsidRPr="00581496" w:rsidRDefault="00581496" w:rsidP="00581496">
      <w:pPr>
        <w:pStyle w:val="Odstavekseznama"/>
        <w:numPr>
          <w:ilvl w:val="0"/>
          <w:numId w:val="42"/>
        </w:numPr>
        <w:spacing w:line="276" w:lineRule="auto"/>
        <w:contextualSpacing/>
        <w:jc w:val="both"/>
        <w:rPr>
          <w:szCs w:val="20"/>
          <w:lang w:val="sl-SI"/>
        </w:rPr>
      </w:pPr>
      <w:r w:rsidRPr="00581496">
        <w:rPr>
          <w:szCs w:val="20"/>
          <w:lang w:val="sl-SI"/>
        </w:rPr>
        <w:t>zagotavljanje smernic in tehnične podpore v zvezi s tem, kako najbolje strukturirati in hraniti podatke, da bi bili zlahka dostopni;</w:t>
      </w:r>
    </w:p>
    <w:p w14:paraId="7CA42E0E" w14:textId="77777777" w:rsidR="00581496" w:rsidRPr="00581496" w:rsidRDefault="00581496" w:rsidP="00581496">
      <w:pPr>
        <w:pStyle w:val="Odstavekseznama"/>
        <w:numPr>
          <w:ilvl w:val="0"/>
          <w:numId w:val="42"/>
        </w:numPr>
        <w:spacing w:line="276" w:lineRule="auto"/>
        <w:contextualSpacing/>
        <w:jc w:val="both"/>
        <w:rPr>
          <w:szCs w:val="20"/>
          <w:lang w:val="sl-SI"/>
        </w:rPr>
      </w:pPr>
      <w:r w:rsidRPr="00581496">
        <w:rPr>
          <w:szCs w:val="20"/>
          <w:lang w:val="sl-SI"/>
        </w:rPr>
        <w:t>zagotavljanje tehnične podpore pri psevdonimizaciji in zagotavljanje obdelave podatkov na način, s katerim se dejansko ohranjajo zasebnost, zaupnost, celovitost in dostopnost informacij, vsebovanih v podatkih, katerih ponovna uporaba je dovoljena; sem spadajo tudi tehnike za anonimizacijo, posploševanje, odstranjevanje in naključno razporeditev osebnih podatkov ali druge najsodobnejše metode za varovanje zasebnosti, pa tudi izbris poslovno občutljivih informacij, vključno s poslovnimi skrivnostmi ali vsebino, varovano s pravicami intelektualne lastnine;</w:t>
      </w:r>
    </w:p>
    <w:p w14:paraId="4187C313" w14:textId="77777777" w:rsidR="00581496" w:rsidRPr="00581496" w:rsidRDefault="00581496" w:rsidP="00581496">
      <w:pPr>
        <w:pStyle w:val="Odstavekseznama"/>
        <w:numPr>
          <w:ilvl w:val="0"/>
          <w:numId w:val="42"/>
        </w:numPr>
        <w:spacing w:line="276" w:lineRule="auto"/>
        <w:contextualSpacing/>
        <w:jc w:val="both"/>
        <w:rPr>
          <w:szCs w:val="20"/>
          <w:lang w:val="sl-SI"/>
        </w:rPr>
      </w:pPr>
      <w:r w:rsidRPr="00581496">
        <w:rPr>
          <w:szCs w:val="20"/>
          <w:lang w:val="sl-SI"/>
        </w:rPr>
        <w:t>kadar je ustrezno, zagotavljanje pomoči organom javnega sektorja, da ponovnim uporabnikom zagotavljajo podporo pri zahtevanju privolitve posameznikov, na katere se nanašajo osebni podatki, za ponovno uporabo ali pri zahtevanju dovoljenja imetnikov podatkov v skladu z njihovimi izrecnimi odločitvami, vključno glede pristojnosti, v katerih naj bi potekala obdelava podatkov, in pomoči organom javnega sektorja pri vzpostavljanju tehničnih mehanizmov, ki omogočajo prenos zahtevkov za privolitev ali dovoljenje ponovnih uporabnikov, kadar je to praktično izvedljivo;</w:t>
      </w:r>
    </w:p>
    <w:p w14:paraId="105390A3" w14:textId="77777777" w:rsidR="00581496" w:rsidRPr="00581496" w:rsidRDefault="00581496" w:rsidP="00581496">
      <w:pPr>
        <w:pStyle w:val="Odstavekseznama"/>
        <w:numPr>
          <w:ilvl w:val="0"/>
          <w:numId w:val="42"/>
        </w:numPr>
        <w:spacing w:line="276" w:lineRule="auto"/>
        <w:contextualSpacing/>
        <w:jc w:val="both"/>
        <w:rPr>
          <w:szCs w:val="20"/>
          <w:lang w:val="sl-SI"/>
        </w:rPr>
      </w:pPr>
      <w:r w:rsidRPr="00581496">
        <w:rPr>
          <w:szCs w:val="20"/>
          <w:lang w:val="sl-SI"/>
        </w:rPr>
        <w:t>zagotavljanje pomoči organom javnega sektorja pri ocenjevanju ustreznosti pogodbenih zavez, ki jih je dal ponovni uporabnik na podlagi desetega odstavka 5. člena Uredbe 2022/868/EU.</w:t>
      </w:r>
    </w:p>
    <w:p w14:paraId="70E083CB" w14:textId="77777777" w:rsidR="00581496" w:rsidRPr="00581496" w:rsidRDefault="00581496" w:rsidP="00581496">
      <w:pPr>
        <w:pStyle w:val="Odstavekseznama"/>
        <w:spacing w:line="276" w:lineRule="auto"/>
        <w:ind w:left="0"/>
        <w:jc w:val="both"/>
        <w:rPr>
          <w:szCs w:val="20"/>
          <w:lang w:val="sl-SI"/>
        </w:rPr>
      </w:pPr>
      <w:r w:rsidRPr="00581496">
        <w:rPr>
          <w:szCs w:val="20"/>
          <w:lang w:val="sl-SI"/>
        </w:rPr>
        <w:t>V okviru pomoči drugim organom javnega sektorja pristojni organ iz 7. člena Uredbe 2022/868/EU na zahtevo obvešča tudi o najboljših praksah pri izpolnjevanju zahtev iz omenjene uredbe (na primer: o tehničnih sredstvih za omogočanje varnega okolja za obdelavo in za zagotavljanje zasebnosti in zaupnosti).</w:t>
      </w:r>
    </w:p>
    <w:p w14:paraId="702D06FE" w14:textId="77777777" w:rsidR="00581496" w:rsidRPr="00581496" w:rsidRDefault="00581496" w:rsidP="00581496">
      <w:pPr>
        <w:pStyle w:val="Odstavekseznama"/>
        <w:spacing w:line="276" w:lineRule="auto"/>
        <w:ind w:left="0"/>
        <w:jc w:val="both"/>
        <w:rPr>
          <w:szCs w:val="20"/>
          <w:lang w:val="sl-SI"/>
        </w:rPr>
      </w:pPr>
    </w:p>
    <w:p w14:paraId="0A722F0B" w14:textId="77777777" w:rsidR="00581496" w:rsidRPr="00581496" w:rsidRDefault="00581496" w:rsidP="00581496">
      <w:pPr>
        <w:pStyle w:val="Odstavekseznama"/>
        <w:spacing w:line="276" w:lineRule="auto"/>
        <w:ind w:left="0"/>
        <w:jc w:val="both"/>
        <w:rPr>
          <w:szCs w:val="20"/>
          <w:lang w:val="sl-SI"/>
        </w:rPr>
      </w:pPr>
      <w:r w:rsidRPr="00581496">
        <w:rPr>
          <w:szCs w:val="20"/>
          <w:lang w:val="sl-SI"/>
        </w:rPr>
        <w:t>Države članice EU morajo na podlagi 8. člena Uredbe 2022/868/EU zagotoviti, da so vse ustrezne informacije o uporabi 5. in 6. člena Uredbe 2022/868/EU na razpolago in zlahka dostopne prek enotne informacijske točke. Enotna informacijska točka naj bi bila stičišče za ponovne uporabnike. Lahko je vzpostavljena kot nov organ, lahko pa je za tako imenovan obstoječi organ ali struktura. Funkcije enotne informacijske točke so lahko avtomatizirane, če organ javnega sektorja zagotavlja ustrezno podporo. Enotna informacijska točka je pristojna za sprejemanje poizvedb ali zahtevkov za ponovno uporabo zaščitenih podatkov javnega sektorja, ki jih posreduje – po avtomatizirani poti, kadar je možno in ustrezno (na primer ob zadostnem človeškem nadzoru) – organom javnega sektorja. Enotna informacijska točka po elektronski poti da na voljo seznam virov, po katerem je omogočeno iskanje po vseh razpoložljivih virih podatkov, na katerem so ustrezne informacije, ki opisujejo razpoložljive podatke, med drugim vsaj format in velikost podatkov ter pogoje za njihovo ponovno uporabo.</w:t>
      </w:r>
    </w:p>
    <w:p w14:paraId="59837AB5" w14:textId="77777777" w:rsidR="00581496" w:rsidRPr="00581496" w:rsidRDefault="00581496" w:rsidP="00581496">
      <w:pPr>
        <w:pStyle w:val="Odstavekseznama"/>
        <w:spacing w:line="276" w:lineRule="auto"/>
        <w:ind w:left="0"/>
        <w:jc w:val="both"/>
        <w:rPr>
          <w:szCs w:val="20"/>
          <w:lang w:val="sl-SI"/>
        </w:rPr>
      </w:pPr>
    </w:p>
    <w:p w14:paraId="2407570F" w14:textId="77777777" w:rsidR="00581496" w:rsidRPr="00581496" w:rsidRDefault="00581496" w:rsidP="00581496">
      <w:pPr>
        <w:pStyle w:val="Odstavekseznama"/>
        <w:spacing w:line="276" w:lineRule="auto"/>
        <w:ind w:left="0"/>
        <w:jc w:val="both"/>
        <w:rPr>
          <w:szCs w:val="20"/>
          <w:lang w:val="sl-SI"/>
        </w:rPr>
      </w:pPr>
      <w:r w:rsidRPr="00581496">
        <w:rPr>
          <w:szCs w:val="20"/>
          <w:lang w:val="sl-SI"/>
        </w:rPr>
        <w:t xml:space="preserve">Glede na to da zgoraj opisane naloge in funkcionalnosti v Republiki Sloveniji še ne izvaja noben državni organ ali organ samoupravnih lokalnih skupnosti in glede na vsebinsko podobnost s področjem dela ministrstva, pristojnega za digitalno preobrazbo (v nadaljnjem besedilu: ministrstvo), bo naloge pristojnega organa iz prvega odstavka 7. člena Uredbe 2022/868/EU za vse sektorje oziroma vrste zaščitenih podatkov javnega sektorja in naloge enotne informacijske točke iz prvega odstavka 8. člena Uredbe 2022/868/EU izvajalo ministrstvo.  </w:t>
      </w:r>
    </w:p>
    <w:p w14:paraId="48A3A41B" w14:textId="77777777" w:rsidR="00581496" w:rsidRPr="00581496" w:rsidRDefault="00581496" w:rsidP="00581496">
      <w:pPr>
        <w:spacing w:line="276" w:lineRule="auto"/>
        <w:jc w:val="both"/>
        <w:rPr>
          <w:rFonts w:cs="Arial"/>
          <w:szCs w:val="20"/>
          <w:lang w:val="sl-SI"/>
        </w:rPr>
      </w:pPr>
    </w:p>
    <w:p w14:paraId="48DB687D" w14:textId="77777777" w:rsidR="00581496" w:rsidRPr="00581496" w:rsidRDefault="00581496" w:rsidP="00581496">
      <w:pPr>
        <w:spacing w:line="276" w:lineRule="auto"/>
        <w:jc w:val="both"/>
        <w:rPr>
          <w:rFonts w:cs="Arial"/>
          <w:szCs w:val="20"/>
          <w:lang w:val="sl-SI"/>
        </w:rPr>
      </w:pPr>
      <w:r w:rsidRPr="00581496">
        <w:rPr>
          <w:rFonts w:cs="Arial"/>
          <w:szCs w:val="20"/>
          <w:lang w:val="sl-SI"/>
        </w:rPr>
        <w:t>Ministrstvo za digitalno preobrazbo bo zagotavljalo varno okolje za obdelavo zaščitenih podatkov javnega sektorja iz četrtega odstavka 7. člena Uredbe 2022/868/EU. Organi javnega sektorja bodo storitev zagotavljanja varnega okolja za obdelavo zaščitenih podatkov, za katere so z odločbo iz 4. člena tega zakona odobrili ponovno uporabo, plačevali v skladu s cenikom, ki ga določi minister, pristojen za digitalno preobrazbo (v nadaljnjem besedilu: minister).</w:t>
      </w:r>
    </w:p>
    <w:p w14:paraId="24446498" w14:textId="77777777" w:rsidR="00581496" w:rsidRPr="00581496" w:rsidRDefault="00581496" w:rsidP="00581496">
      <w:pPr>
        <w:pStyle w:val="Odstavekseznama"/>
        <w:spacing w:line="276" w:lineRule="auto"/>
        <w:ind w:left="0"/>
        <w:jc w:val="both"/>
        <w:rPr>
          <w:szCs w:val="20"/>
          <w:lang w:val="sl-SI"/>
        </w:rPr>
      </w:pPr>
    </w:p>
    <w:p w14:paraId="6ED3E53F" w14:textId="77777777" w:rsidR="00581496" w:rsidRPr="00581496" w:rsidRDefault="00581496" w:rsidP="00581496">
      <w:pPr>
        <w:pStyle w:val="Odstavekseznama"/>
        <w:ind w:left="0"/>
        <w:jc w:val="both"/>
        <w:rPr>
          <w:szCs w:val="20"/>
          <w:lang w:val="sl-SI"/>
        </w:rPr>
      </w:pPr>
      <w:r w:rsidRPr="00581496">
        <w:rPr>
          <w:szCs w:val="20"/>
          <w:lang w:val="sl-SI"/>
        </w:rPr>
        <w:t>Enotna informacijska točka bo elektronsko vzpostavljena in dostopna preko nacionalnega portala odprtih podatkov, ki je vzpostavljen na podlagi Zakona o dostopu do informacij javnega značaja (ZDIJZ), kjer bodo posamezne zbirke imele oznako, ali gre za zbirko, ki ima status varovanega podatka, kot to opredeljuje Uredba 2022/868/EU. Nacionalni portal odprtih podatkov predstavlja enotno nacionalno točko za objavo odprtih podatkov za celotni javni sektor ter predstavlja centralni katalog vseh evidenc in zbirk podatkov v državi, pri čemer gre pri varovanih podatkih za objavo metapodatkovnih opisov zbirk podatkov ter pogojev uporabe. Dodatno bo treba določiti atribut, ki bo omogočal določitev, ali gre za zbirko, ki ima status varovanega podatka ali ne, zato bo treba Uredbo o posredovanju in ponovni uporabi informacij javnega značaja (Uradni list RS, št. 24/16 in 146/22), uskladiti s tem zakonom.</w:t>
      </w:r>
    </w:p>
    <w:p w14:paraId="520E8D68" w14:textId="77777777" w:rsidR="00581496" w:rsidRPr="00581496" w:rsidRDefault="00581496" w:rsidP="00581496">
      <w:pPr>
        <w:pStyle w:val="Odstavekseznama"/>
        <w:spacing w:line="276" w:lineRule="auto"/>
        <w:ind w:left="0"/>
        <w:jc w:val="both"/>
        <w:rPr>
          <w:szCs w:val="20"/>
          <w:lang w:val="sl-SI"/>
        </w:rPr>
      </w:pPr>
    </w:p>
    <w:p w14:paraId="1353C1CD" w14:textId="77777777" w:rsidR="00581496" w:rsidRPr="00581496" w:rsidRDefault="00581496" w:rsidP="00581496">
      <w:pPr>
        <w:suppressAutoHyphens/>
        <w:overflowPunct w:val="0"/>
        <w:autoSpaceDE w:val="0"/>
        <w:autoSpaceDN w:val="0"/>
        <w:adjustRightInd w:val="0"/>
        <w:spacing w:line="276" w:lineRule="auto"/>
        <w:jc w:val="both"/>
        <w:textAlignment w:val="baseline"/>
        <w:rPr>
          <w:rFonts w:cs="Arial"/>
          <w:b/>
          <w:szCs w:val="20"/>
          <w:lang w:val="sl-SI"/>
        </w:rPr>
      </w:pPr>
      <w:r w:rsidRPr="00581496">
        <w:rPr>
          <w:rFonts w:cs="Arial"/>
          <w:b/>
          <w:szCs w:val="20"/>
          <w:lang w:val="sl-SI"/>
        </w:rPr>
        <w:t>K 3. členu (ponovna uporaba zaščitenih kategorij podatkov):</w:t>
      </w:r>
    </w:p>
    <w:p w14:paraId="0F3E81FC" w14:textId="77777777" w:rsidR="00581496" w:rsidRPr="00581496" w:rsidRDefault="00581496" w:rsidP="00581496">
      <w:pPr>
        <w:pStyle w:val="Odstavekseznama"/>
        <w:spacing w:line="276" w:lineRule="auto"/>
        <w:ind w:left="0"/>
        <w:jc w:val="both"/>
        <w:rPr>
          <w:szCs w:val="20"/>
          <w:lang w:val="sl-SI"/>
        </w:rPr>
      </w:pPr>
      <w:r w:rsidRPr="00581496">
        <w:rPr>
          <w:szCs w:val="20"/>
          <w:lang w:val="sl-SI"/>
        </w:rPr>
        <w:t>Uredba 2022/868/EU določa pogoje za ponovno uporabo zaščitenih podatkov javnega sektorja, a pri tem organov javnega sektorja ne obvezuje, da dovolijo ponovno uporabo podatkov, niti jih ne odvezuje od obveznosti v zvezi z zaupnostjo, ki zanje veljajo po pravu EU ali nacionalnem pravu. Tako na primer ne posega v posebne določbe prava EU ali nacionalnega prava glede dostopa do nekaterih kategorij podatkov ali njihove ponovne uporabe, zlasti v zvezi z odobritvijo dostopa do uradnih dokumentov in njihovim razkrivanjem in tudi ne posega v obveznosti organov javnega sektorja glede omogočanja ponovne uporabe podatkov na podlagi prava EU ali nacionalnega prava ali v zahteve v zvezi z obdelavo neosebnih podatkov. Prav tako Uredba 2022/868/EU ne posega v pristojnosti držav članic EU glede njihovih dejavnosti v zvezi z javno varnostjo, obrambo in nacionalno varnostjo.</w:t>
      </w:r>
    </w:p>
    <w:p w14:paraId="6C0D4FF9" w14:textId="77777777" w:rsidR="00581496" w:rsidRPr="00581496" w:rsidRDefault="00581496" w:rsidP="00581496">
      <w:pPr>
        <w:pStyle w:val="Odstavekseznama"/>
        <w:spacing w:line="276" w:lineRule="auto"/>
        <w:ind w:left="0"/>
        <w:jc w:val="both"/>
        <w:rPr>
          <w:szCs w:val="20"/>
          <w:lang w:val="sl-SI"/>
        </w:rPr>
      </w:pPr>
    </w:p>
    <w:p w14:paraId="55C202D6" w14:textId="77777777" w:rsidR="00581496" w:rsidRPr="00581496" w:rsidRDefault="00581496" w:rsidP="00581496">
      <w:pPr>
        <w:pStyle w:val="Odstavekseznama"/>
        <w:spacing w:line="276" w:lineRule="auto"/>
        <w:ind w:left="0"/>
        <w:jc w:val="both"/>
        <w:rPr>
          <w:szCs w:val="20"/>
          <w:lang w:val="sl-SI"/>
        </w:rPr>
      </w:pPr>
      <w:r w:rsidRPr="00581496">
        <w:rPr>
          <w:szCs w:val="20"/>
          <w:lang w:val="sl-SI"/>
        </w:rPr>
        <w:t>Zato organi javnega sektorja skladno s predlogom člena odločijo o ponovni uporabi zaščitenih podatkov javnega sektorja le ob upoštevanju pogojev za ponovno uporabo iz Uredbe 2022/868/EU in tega zakona ter vodijo postopek po zakonu, ki ureja splošni upravni postopek, če Uredba 2022/868/EU in ta zakon ne določata drugače, ter odločijo v roku 60 dni od prejema vloge oziroma v podaljšanem roku iz drugega pododstavka prvega odstavka 9. člena Uredbe 2022/868/EU.</w:t>
      </w:r>
    </w:p>
    <w:p w14:paraId="0EF39D7E" w14:textId="77777777" w:rsidR="00581496" w:rsidRPr="00581496" w:rsidRDefault="00581496" w:rsidP="00581496">
      <w:pPr>
        <w:pStyle w:val="Odstavekseznama"/>
        <w:spacing w:line="276" w:lineRule="auto"/>
        <w:ind w:left="0"/>
        <w:jc w:val="both"/>
        <w:rPr>
          <w:szCs w:val="20"/>
          <w:lang w:val="sl-SI"/>
        </w:rPr>
      </w:pPr>
    </w:p>
    <w:p w14:paraId="32EDA4C5" w14:textId="77777777" w:rsidR="00581496" w:rsidRPr="00581496" w:rsidRDefault="00581496" w:rsidP="00581496">
      <w:pPr>
        <w:pStyle w:val="Odstavekseznama"/>
        <w:spacing w:line="276" w:lineRule="auto"/>
        <w:ind w:left="0"/>
        <w:jc w:val="both"/>
        <w:rPr>
          <w:szCs w:val="20"/>
          <w:lang w:val="sl-SI"/>
        </w:rPr>
      </w:pPr>
      <w:r w:rsidRPr="00581496">
        <w:rPr>
          <w:szCs w:val="20"/>
          <w:lang w:val="sl-SI"/>
        </w:rPr>
        <w:t>Glede na to da zaščitene kategorije podatkov javnega sektorja zajemajo najobčutljivejše poslovne in statistične zaupnosti, pravice intelektualne lastnine tretjih oseb in osebne podatke, ki ne sodijo na področje uporabe Direktive (EU) 2019/1024 Evropskega parlamenta in Sveta z dne 20. junija 2019 o odprtih podatkih in ponovni uporabi informacij javnega sektorja (prenovitev) (UL L št. 172 z dne 26. 6. 2019, str. 56, v nadaljnjem besedilu: Direktiva (EU) 2019/1024), se ureditev ponovne uporabe zaščitenih kategorij podatkov javnega sektorja zgleduje po ureditvi obdelave osebnih podatkov za raziskovalne namene z Zakonom o varstvu osebnih podatkov (Uradni list RS, št. 163/22) in je tako dovoljena v znanstvenoraziskovalne, zgodovinskoraziskovalne in statistične namene (v nadaljnjem besedilu: raziskovanje). Ob tem mora raziskovanje izvajati organizacija in posamezniki, ki pri svojem delovanju uporabljajo etična načela in metodologijo s področja raziskovanja ter pravila glede varstva podatkov iz drugega poglavja Uredbe 2022/868/EU (torej ne nujno le registrirani raziskovalci), in če se oseba, ki je podala vlogo za ponovno uporabo zaščitenih podatkov javnega sektorja, pogodbeno zaveže, da bo spoštovala določila desetega odstavka 5. člena Uredbe 2022/868/EU (o izpolnjevanju obveznosti in priznavanju sodne pristojnosti). Skladno z 11. recitalom Uredbe 2022/868/EU namreč ne sme nastati obveznost, ki bo omogočala ponovno uporabo zaščitenih podatkov javnega sektorja, vsaka država članica EU pa ima možnost, da se odloči, ali bodo podatki dostopni za ponovno uporabo, tudi v smislu namenov in obsega takega dostopa.</w:t>
      </w:r>
    </w:p>
    <w:p w14:paraId="61D6E3AB" w14:textId="77777777" w:rsidR="00581496" w:rsidRPr="00581496" w:rsidRDefault="00581496" w:rsidP="00581496">
      <w:pPr>
        <w:pStyle w:val="Odstavekseznama"/>
        <w:spacing w:line="276" w:lineRule="auto"/>
        <w:ind w:left="0"/>
        <w:jc w:val="both"/>
        <w:rPr>
          <w:szCs w:val="20"/>
          <w:lang w:val="sl-SI"/>
        </w:rPr>
      </w:pPr>
    </w:p>
    <w:p w14:paraId="0BE9099D" w14:textId="77777777" w:rsidR="00581496" w:rsidRPr="00581496" w:rsidRDefault="00581496" w:rsidP="00581496">
      <w:pPr>
        <w:pStyle w:val="Odstavekseznama"/>
        <w:spacing w:line="276" w:lineRule="auto"/>
        <w:ind w:left="0"/>
        <w:jc w:val="both"/>
        <w:rPr>
          <w:szCs w:val="20"/>
          <w:lang w:val="sl-SI"/>
        </w:rPr>
      </w:pPr>
      <w:r w:rsidRPr="00581496">
        <w:rPr>
          <w:szCs w:val="20"/>
          <w:lang w:val="sl-SI"/>
        </w:rPr>
        <w:t xml:space="preserve">Ko organi javnega sektorja odločajo o ponovni uporabi osebnih podatkov, ki ne sodijo na področje uporabe Direktive (EU) 2019/1024, pa vodijo postopek po zakonu, ki ureja varstvo osebnih podatkov, če Uredba 2022/868/EU in ta zakon ne določata drugače, ter odločijo </w:t>
      </w:r>
      <w:r w:rsidRPr="00581496">
        <w:rPr>
          <w:lang w:val="sl-SI"/>
        </w:rPr>
        <w:t>v roku 60 dni od prejema vloge oziroma v podaljšanjem roku iz drugega pododstavka prvega odstavka 9. člena Uredbe 2022/868/EU</w:t>
      </w:r>
      <w:r w:rsidRPr="00581496">
        <w:rPr>
          <w:szCs w:val="20"/>
          <w:lang w:val="sl-SI"/>
        </w:rPr>
        <w:t>.</w:t>
      </w:r>
    </w:p>
    <w:p w14:paraId="0622947F" w14:textId="77777777" w:rsidR="00581496" w:rsidRPr="00581496" w:rsidRDefault="00581496" w:rsidP="00581496">
      <w:pPr>
        <w:pStyle w:val="Odstavekseznama"/>
        <w:spacing w:line="276" w:lineRule="auto"/>
        <w:ind w:left="0"/>
        <w:jc w:val="both"/>
        <w:rPr>
          <w:szCs w:val="20"/>
          <w:lang w:val="sl-SI"/>
        </w:rPr>
      </w:pPr>
    </w:p>
    <w:p w14:paraId="77A7720C" w14:textId="77777777" w:rsidR="00581496" w:rsidRPr="00581496" w:rsidRDefault="00581496" w:rsidP="00581496">
      <w:pPr>
        <w:suppressAutoHyphens/>
        <w:overflowPunct w:val="0"/>
        <w:autoSpaceDE w:val="0"/>
        <w:autoSpaceDN w:val="0"/>
        <w:adjustRightInd w:val="0"/>
        <w:spacing w:line="276" w:lineRule="auto"/>
        <w:jc w:val="both"/>
        <w:textAlignment w:val="baseline"/>
        <w:rPr>
          <w:rFonts w:cs="Arial"/>
          <w:b/>
          <w:szCs w:val="20"/>
          <w:lang w:val="sl-SI"/>
        </w:rPr>
      </w:pPr>
      <w:r w:rsidRPr="00581496">
        <w:rPr>
          <w:rFonts w:cs="Arial"/>
          <w:b/>
          <w:szCs w:val="20"/>
          <w:lang w:val="sl-SI"/>
        </w:rPr>
        <w:t>K 4. členu (vloga za ponovno uporabo zaščitenih podatkov javnega sektorja):</w:t>
      </w:r>
    </w:p>
    <w:p w14:paraId="6DCF331D" w14:textId="77777777" w:rsidR="00581496" w:rsidRPr="00581496" w:rsidRDefault="00581496" w:rsidP="00581496">
      <w:pPr>
        <w:spacing w:line="276" w:lineRule="auto"/>
        <w:jc w:val="both"/>
        <w:rPr>
          <w:rFonts w:cs="Arial"/>
          <w:i/>
          <w:iCs/>
          <w:szCs w:val="20"/>
          <w:lang w:val="sl-SI"/>
        </w:rPr>
      </w:pPr>
      <w:r w:rsidRPr="00581496">
        <w:rPr>
          <w:rFonts w:cs="Arial"/>
          <w:szCs w:val="20"/>
          <w:lang w:val="sl-SI"/>
        </w:rPr>
        <w:t xml:space="preserve">Predlog člena v prvem odstavku določa sestavine vloge, s katero se zaprosi za ponovno uporabo zaščitenih podatkov javnega sektorja. Poleg osnovnih identifikacijskih podatkov prosilca mora biti v vlogi opredeljeno, od katerega organa javnega sektorja želi prosilec pridobiti podatke in katere podatke konkretno želi. Prosilec mora opredeliti namen ponovne uporabe zaščitenih podatkov javnega sektorja oziroma razloge, ki izkazujejo ustreznost, relevantnost in omejenost zaščitenih podatkov javnega sektorja na to, kar je potrebno za dosego namenov pridobitve, ter obliko in način pridobitve zaprošenih podatkov ter navedbo razlogov za določeno obliko podatkov. Prosilec mora navesti, ali namerava neosebne zaščitene podatke javnega sektorja prenesti v tretjo državo in katero ter namena takega prenosa. Prosilec mora v vlogi vključiti tudi opis raziskave, ki vsebuje podrobnejše informacije o raziskavi. </w:t>
      </w:r>
    </w:p>
    <w:p w14:paraId="40E8CA02" w14:textId="77777777" w:rsidR="00581496" w:rsidRPr="00581496" w:rsidRDefault="00581496" w:rsidP="00581496">
      <w:pPr>
        <w:pStyle w:val="Odstavekseznama"/>
        <w:spacing w:line="276" w:lineRule="auto"/>
        <w:ind w:left="1440"/>
        <w:jc w:val="both"/>
        <w:rPr>
          <w:szCs w:val="20"/>
          <w:lang w:val="sl-SI"/>
        </w:rPr>
      </w:pPr>
    </w:p>
    <w:p w14:paraId="3D9A8CE9" w14:textId="77777777" w:rsidR="00581496" w:rsidRPr="00581496" w:rsidRDefault="00581496" w:rsidP="00581496">
      <w:pPr>
        <w:jc w:val="both"/>
        <w:rPr>
          <w:rFonts w:cs="Arial"/>
          <w:szCs w:val="20"/>
          <w:lang w:val="sl-SI"/>
        </w:rPr>
      </w:pPr>
      <w:r w:rsidRPr="00581496">
        <w:rPr>
          <w:rFonts w:cs="Arial"/>
          <w:szCs w:val="20"/>
          <w:lang w:val="sl-SI"/>
        </w:rPr>
        <w:t xml:space="preserve">Predlog člena v drugem odstavku predvideva vlaganje vlog v elektronski obliki na enotni informacijski točki iz 3. člena tega zakona, pri čemer se za identifikacijo posameznika uporabi sredstvo elektronske identifikacije ravni zanesljivosti najmanj srednja. Določba omogoča vlaganje vlog v elektronski obliki tudi z uporabo drugih načinov elektronske identifikacije za dostop do elektronskih storitev ravni zanesljivosti najmanj srednja v skladu s predpisi, ki urejajo elektronske identifikacije in storitve zaupanja. Skladno z 58. členom Zakona o elektronski identifikaciji in storitvah zaupanja (Uradni list RS, št. 121/21, v nadaljnjem besedilu: ZEISZ) lahko namreč fizična oseba za namene elektronske identifikacije in avtentikacije za dostop do elektronskih storitev v javnem sektorju iz 14. člena tega zakona uporablja kvalificirano potrdilo za elektronski podpis še pet let po uveljavitvi ZEISZ pod določenimi pogoji (torej do leta 2026). </w:t>
      </w:r>
      <w:bookmarkStart w:id="21" w:name="_Hlk167010555"/>
      <w:r w:rsidRPr="00581496">
        <w:rPr>
          <w:lang w:val="sl-SI"/>
        </w:rPr>
        <w:t xml:space="preserve">Ker bo upravičenec podatke dobil v elektronski obliki in je digitalno vešč, saj bo izvajal postopke podatkovne analitike ter ima vsa potrebna elektronska sredstva, da lahko odda vlogo v elektronski obliki, je po naši oceni primerno in smiselno, da se predvidi možnost oddaje vloge zgolj v elektronski obliki. Možnost oddaje vloge v fizični obliki bi namreč pomenila tudi dodatno administrativno breme. </w:t>
      </w:r>
    </w:p>
    <w:p w14:paraId="6D1CACD8" w14:textId="77777777" w:rsidR="00581496" w:rsidRPr="00581496" w:rsidRDefault="00581496" w:rsidP="00581496">
      <w:pPr>
        <w:pStyle w:val="Odstavekseznama"/>
        <w:spacing w:line="276" w:lineRule="auto"/>
        <w:ind w:left="0"/>
        <w:jc w:val="both"/>
        <w:rPr>
          <w:szCs w:val="20"/>
          <w:lang w:val="sl-SI"/>
        </w:rPr>
      </w:pPr>
    </w:p>
    <w:bookmarkEnd w:id="21"/>
    <w:p w14:paraId="001FD162" w14:textId="77777777" w:rsidR="00581496" w:rsidRPr="00581496" w:rsidRDefault="00581496" w:rsidP="00581496">
      <w:pPr>
        <w:pStyle w:val="Odstavekseznama"/>
        <w:spacing w:line="276" w:lineRule="auto"/>
        <w:ind w:left="0"/>
        <w:jc w:val="both"/>
        <w:rPr>
          <w:szCs w:val="20"/>
          <w:lang w:val="sl-SI"/>
        </w:rPr>
      </w:pPr>
      <w:r w:rsidRPr="00581496">
        <w:rPr>
          <w:szCs w:val="20"/>
          <w:lang w:val="sl-SI"/>
        </w:rPr>
        <w:t xml:space="preserve">Predlog tretjega odstavka tega člena predvideva situacije, v katerih organ javnega sektorja zavrne vlogo za ponovno uporabo zaščitenih kategorij podatkov. Med te situacije sodi tudi odločanje o varovanih podatkih po predpisih, ki urejajo naloge in pooblastila ter ki določajo omejitve razkritja, saj bi njihovo razkritje nepoklicanim osebam povzročilo škodo državnemu organu, poteku uradnih postopkov ali fizičnim ali pravnim osebam, njihovo obdelavo pa morajo spremljati določeni varnostni ukrepi in postopki. </w:t>
      </w:r>
    </w:p>
    <w:p w14:paraId="5FB05A44" w14:textId="77777777" w:rsidR="00581496" w:rsidRPr="00581496" w:rsidRDefault="00581496" w:rsidP="00581496">
      <w:pPr>
        <w:suppressAutoHyphens/>
        <w:overflowPunct w:val="0"/>
        <w:autoSpaceDE w:val="0"/>
        <w:autoSpaceDN w:val="0"/>
        <w:adjustRightInd w:val="0"/>
        <w:spacing w:line="276" w:lineRule="auto"/>
        <w:jc w:val="both"/>
        <w:textAlignment w:val="baseline"/>
        <w:rPr>
          <w:rFonts w:cs="Arial"/>
          <w:b/>
          <w:szCs w:val="20"/>
          <w:lang w:val="sl-SI"/>
        </w:rPr>
      </w:pPr>
    </w:p>
    <w:p w14:paraId="0B83CF5B" w14:textId="77777777" w:rsidR="00581496" w:rsidRPr="00581496" w:rsidRDefault="00581496" w:rsidP="00581496">
      <w:pPr>
        <w:suppressAutoHyphens/>
        <w:overflowPunct w:val="0"/>
        <w:autoSpaceDE w:val="0"/>
        <w:autoSpaceDN w:val="0"/>
        <w:adjustRightInd w:val="0"/>
        <w:spacing w:line="276" w:lineRule="auto"/>
        <w:jc w:val="both"/>
        <w:textAlignment w:val="baseline"/>
        <w:rPr>
          <w:rFonts w:cs="Arial"/>
          <w:b/>
          <w:szCs w:val="20"/>
          <w:lang w:val="sl-SI"/>
        </w:rPr>
      </w:pPr>
      <w:r w:rsidRPr="00581496">
        <w:rPr>
          <w:rFonts w:cs="Arial"/>
          <w:b/>
          <w:szCs w:val="20"/>
          <w:lang w:val="sl-SI"/>
        </w:rPr>
        <w:t>K 5. – 8. členu (pravno sredstvo in postopek pred Informacijskim pooblaščencem):</w:t>
      </w:r>
    </w:p>
    <w:p w14:paraId="5AB68018" w14:textId="77777777" w:rsidR="00581496" w:rsidRPr="00581496" w:rsidRDefault="00581496" w:rsidP="00581496">
      <w:pPr>
        <w:pStyle w:val="Odstavekseznama"/>
        <w:spacing w:line="276" w:lineRule="auto"/>
        <w:ind w:left="0"/>
        <w:jc w:val="both"/>
        <w:rPr>
          <w:szCs w:val="20"/>
          <w:lang w:val="sl-SI"/>
        </w:rPr>
      </w:pPr>
      <w:r w:rsidRPr="00581496">
        <w:rPr>
          <w:szCs w:val="20"/>
          <w:lang w:val="sl-SI"/>
        </w:rPr>
        <w:t>Uredba 2022/868/EU v drugem odstavku 9. člena predvideva, da ima vsaka fizična ali pravna oseba, ki jo neposredno zadeva odločitev o vlogi za ponovno uporabo zaščitenih podatkov javnega sektorja, pravico do učinkovitega pravnega sredstva v državi članici, v kateri se zadevni organ nahaja. Predlog člena zato ureja pravico do pritožbe, o kateri odloča Informacijski pooblaščenec (v nadaljnjem besedilu: IP). Določeno pravno sredstvo naj bi namreč vključevalo možnost pregleda s strani nepristranskega organ z ustreznim strokovnim znanjem. Postopek s pritožbo se izvaja po določbah zakona, ki ureja splošni upravni postopek. Stranska udeležba, kot jo določa zakon, ki ureja splošni upravni postopek, pa ni dopustna.</w:t>
      </w:r>
    </w:p>
    <w:p w14:paraId="265CEEBD" w14:textId="77777777" w:rsidR="00581496" w:rsidRPr="00581496" w:rsidRDefault="00581496" w:rsidP="00581496">
      <w:pPr>
        <w:pStyle w:val="Odstavekseznama"/>
        <w:spacing w:line="276" w:lineRule="auto"/>
        <w:ind w:left="0"/>
        <w:jc w:val="both"/>
        <w:rPr>
          <w:szCs w:val="20"/>
          <w:lang w:val="sl-SI"/>
        </w:rPr>
      </w:pPr>
    </w:p>
    <w:p w14:paraId="563F9037" w14:textId="77777777" w:rsidR="00581496" w:rsidRPr="00581496" w:rsidRDefault="00581496" w:rsidP="00581496">
      <w:pPr>
        <w:pStyle w:val="Odstavekseznama"/>
        <w:spacing w:line="276" w:lineRule="auto"/>
        <w:ind w:left="0"/>
        <w:jc w:val="both"/>
        <w:rPr>
          <w:szCs w:val="20"/>
          <w:lang w:val="sl-SI"/>
        </w:rPr>
      </w:pPr>
      <w:r w:rsidRPr="00581496">
        <w:rPr>
          <w:szCs w:val="20"/>
          <w:lang w:val="sl-SI"/>
        </w:rPr>
        <w:t xml:space="preserve">Pravica strank do pregleda dokumentov v zadevah ponovne uporabe zaščitenih podatkov javnega sektorja po določbah zakona, ki ureja splošni upravni postopek, do pravnomočnosti odločbe IP ne vključuje pregleda dokumentov zadeve, iz katerih bi se dalo razbrati ali sklepati na vsebino zaščitenih podatkov; po pravnomočnosti odločbe IP pa je pregled dokumentov zadeve možen v obsegu, dovoljenem s pravnomočno odločbo IP. </w:t>
      </w:r>
    </w:p>
    <w:p w14:paraId="5F8C79BA" w14:textId="77777777" w:rsidR="00581496" w:rsidRPr="00581496" w:rsidRDefault="00581496" w:rsidP="00581496">
      <w:pPr>
        <w:pStyle w:val="Odstavekseznama"/>
        <w:spacing w:line="276" w:lineRule="auto"/>
        <w:ind w:left="0"/>
        <w:jc w:val="both"/>
        <w:rPr>
          <w:szCs w:val="20"/>
          <w:lang w:val="sl-SI"/>
        </w:rPr>
      </w:pPr>
    </w:p>
    <w:p w14:paraId="2B26B60E" w14:textId="77777777" w:rsidR="00581496" w:rsidRPr="00581496" w:rsidRDefault="00581496" w:rsidP="00581496">
      <w:pPr>
        <w:pStyle w:val="Odstavekseznama"/>
        <w:spacing w:line="276" w:lineRule="auto"/>
        <w:ind w:left="0"/>
        <w:jc w:val="both"/>
        <w:rPr>
          <w:szCs w:val="20"/>
          <w:lang w:val="sl-SI"/>
        </w:rPr>
      </w:pPr>
      <w:r w:rsidRPr="00581496">
        <w:rPr>
          <w:szCs w:val="20"/>
          <w:lang w:val="sl-SI"/>
        </w:rPr>
        <w:t>IP lahko opravi procesno dejanje v zahtevi za ponovno uporabo zaščitenih podatkov javnega sektorja brez prisotnosti stranke, ki zahteva ponovno uporabo, ali osebe, ki ima v postopku enake pravice in dolžnosti kot stranka, če bi taka prisotnost škodovala izvedbi uradnih postopkov ali varstvu ali uresničevanju človekovih pravic in temeljnih svoboščin tretjih oseb. IP v takem primeru odloči s sklepom, proti njem pa ni pritožbe.</w:t>
      </w:r>
    </w:p>
    <w:p w14:paraId="0722F6A1" w14:textId="77777777" w:rsidR="00581496" w:rsidRPr="00581496" w:rsidRDefault="00581496" w:rsidP="00581496">
      <w:pPr>
        <w:suppressAutoHyphens/>
        <w:overflowPunct w:val="0"/>
        <w:autoSpaceDE w:val="0"/>
        <w:autoSpaceDN w:val="0"/>
        <w:adjustRightInd w:val="0"/>
        <w:spacing w:line="276" w:lineRule="auto"/>
        <w:jc w:val="both"/>
        <w:textAlignment w:val="baseline"/>
        <w:rPr>
          <w:rFonts w:cs="Arial"/>
          <w:b/>
          <w:szCs w:val="20"/>
          <w:lang w:val="sl-SI"/>
        </w:rPr>
      </w:pPr>
    </w:p>
    <w:p w14:paraId="635C3329" w14:textId="77777777" w:rsidR="00581496" w:rsidRPr="00581496" w:rsidRDefault="00581496" w:rsidP="00581496">
      <w:pPr>
        <w:suppressAutoHyphens/>
        <w:overflowPunct w:val="0"/>
        <w:autoSpaceDE w:val="0"/>
        <w:autoSpaceDN w:val="0"/>
        <w:adjustRightInd w:val="0"/>
        <w:spacing w:line="276" w:lineRule="auto"/>
        <w:jc w:val="both"/>
        <w:textAlignment w:val="baseline"/>
        <w:rPr>
          <w:rFonts w:cs="Arial"/>
          <w:b/>
          <w:szCs w:val="20"/>
          <w:lang w:val="sl-SI"/>
        </w:rPr>
      </w:pPr>
      <w:r w:rsidRPr="00581496">
        <w:rPr>
          <w:rFonts w:cs="Arial"/>
          <w:b/>
          <w:szCs w:val="20"/>
          <w:lang w:val="sl-SI"/>
        </w:rPr>
        <w:t>K 9. členu (pristojbine):</w:t>
      </w:r>
    </w:p>
    <w:p w14:paraId="6323A055" w14:textId="77777777" w:rsidR="00581496" w:rsidRPr="00581496" w:rsidRDefault="00581496" w:rsidP="00581496">
      <w:pPr>
        <w:pStyle w:val="Odstavekseznama"/>
        <w:spacing w:line="276" w:lineRule="auto"/>
        <w:ind w:left="0"/>
        <w:jc w:val="both"/>
        <w:rPr>
          <w:szCs w:val="20"/>
          <w:lang w:val="sl-SI"/>
        </w:rPr>
      </w:pPr>
      <w:r w:rsidRPr="00581496">
        <w:rPr>
          <w:szCs w:val="20"/>
          <w:lang w:val="sl-SI"/>
        </w:rPr>
        <w:t>6. člen Uredbe 2022/868/EU omogoča, da organi javnega sektorja, ki dovoljujejo ponovno uporabo zaščitenih podatkov javnega sektorja, lahko za dovolitev ponovne uporabe takih podatkov zaračunavajo pristojbine. Merila in metodologijo za izračun pristojbin določijo države članice EU, organi javnega sektorja pa objavijo opis glavnih kategorij stroškov in pravila za razporeditev stroškov. Predlagani člen določa, da se pri določitvi teh pristojbin upošteva stroške iz petega odstavka 6. člena Uredbe 2022/868/EU, zahtevnost dela in višino urne postavke zaposlenih, drugi odstavek tega člena pa daje podlago za izdajo podzakonskega akta s podrobnejšimi merili in metodologijo za izračun pristojbin.</w:t>
      </w:r>
    </w:p>
    <w:p w14:paraId="68CAC10E" w14:textId="77777777" w:rsidR="00581496" w:rsidRPr="00581496" w:rsidRDefault="00581496" w:rsidP="00581496">
      <w:pPr>
        <w:pStyle w:val="Odstavekseznama"/>
        <w:spacing w:line="276" w:lineRule="auto"/>
        <w:jc w:val="both"/>
        <w:rPr>
          <w:szCs w:val="20"/>
          <w:lang w:val="sl-SI"/>
        </w:rPr>
      </w:pPr>
    </w:p>
    <w:p w14:paraId="455D30AB" w14:textId="77777777" w:rsidR="00581496" w:rsidRPr="00581496" w:rsidRDefault="00581496" w:rsidP="00581496">
      <w:pPr>
        <w:pStyle w:val="Odstavekseznama"/>
        <w:spacing w:line="276" w:lineRule="auto"/>
        <w:ind w:left="0"/>
        <w:jc w:val="both"/>
        <w:rPr>
          <w:szCs w:val="20"/>
          <w:highlight w:val="yellow"/>
          <w:lang w:val="sl-SI"/>
        </w:rPr>
      </w:pPr>
      <w:r w:rsidRPr="00581496">
        <w:rPr>
          <w:szCs w:val="20"/>
          <w:lang w:val="sl-SI"/>
        </w:rPr>
        <w:t>Tretji odstavek predlaganega člena predvideva, da minister določi pogoje in načine dodeljevanja državnih pomoči v primeru znižanega plačila ali oprostitve plačila pristojbin v skladu s četrtim odstavkom 6. člena Uredbe 2022/868/EU – po tem odstavku namreč v primerih, ko organi javnega sektorja zaračunajo pristojbine, sprejmejo ukrepe, s katerimi v skladu s pravili o državni pomoči spodbujajo ponovno uporabo zaščitenih kategorij podatkov javnega sektorja v neposlovne namene, na primer za znanstvene raziskave, ter s strani MSP in zagonskih podjetij. V zvezi s tem lahko organi javnega sektorja podatke dajo na voljo tudi po znižani pristojbini ali brezplačno, zlasti MSP-jem, civilni družbi in izobraževalnim ustanovam. Skladno s 25. recitalom Uredbe 2022/868/EU bi namreč organom javnega sektorja moralo biti omogočeno, da se odločijo, da v skladu s pravili o državni pomoči dovolijo ponovno uporabo po znižani pristojbini ali brezplačno (npr. pri nekaterih kategorijah ponovne uporabe), da bi spodbudili tovrstno ponovno uporabo za spodbujanje raziskav in inovacij ter podpirali podjetja, ki so pomemben vir inovacij in sama navadno teže zbirajo ustrezne podatke.</w:t>
      </w:r>
    </w:p>
    <w:p w14:paraId="2320F042" w14:textId="77777777" w:rsidR="00581496" w:rsidRPr="00581496" w:rsidRDefault="00581496" w:rsidP="00581496">
      <w:pPr>
        <w:overflowPunct w:val="0"/>
        <w:autoSpaceDE w:val="0"/>
        <w:autoSpaceDN w:val="0"/>
        <w:adjustRightInd w:val="0"/>
        <w:spacing w:line="276" w:lineRule="auto"/>
        <w:jc w:val="both"/>
        <w:textAlignment w:val="baseline"/>
        <w:rPr>
          <w:rFonts w:cs="Arial"/>
          <w:szCs w:val="20"/>
          <w:highlight w:val="yellow"/>
          <w:lang w:val="sl-SI"/>
        </w:rPr>
      </w:pPr>
    </w:p>
    <w:p w14:paraId="41ADC92D" w14:textId="77777777" w:rsidR="00581496" w:rsidRPr="00581496" w:rsidRDefault="00581496" w:rsidP="00581496">
      <w:pPr>
        <w:suppressAutoHyphens/>
        <w:overflowPunct w:val="0"/>
        <w:autoSpaceDE w:val="0"/>
        <w:autoSpaceDN w:val="0"/>
        <w:adjustRightInd w:val="0"/>
        <w:spacing w:line="276" w:lineRule="auto"/>
        <w:jc w:val="both"/>
        <w:textAlignment w:val="baseline"/>
        <w:rPr>
          <w:rFonts w:cs="Arial"/>
          <w:b/>
          <w:szCs w:val="20"/>
          <w:lang w:val="sl-SI"/>
        </w:rPr>
      </w:pPr>
      <w:r w:rsidRPr="00581496">
        <w:rPr>
          <w:rFonts w:cs="Arial"/>
          <w:b/>
          <w:szCs w:val="20"/>
          <w:lang w:val="sl-SI"/>
        </w:rPr>
        <w:t>K 10. členu (pristojni organ):</w:t>
      </w:r>
    </w:p>
    <w:p w14:paraId="430B9BD7" w14:textId="77777777" w:rsidR="00581496" w:rsidRPr="00581496" w:rsidRDefault="00581496" w:rsidP="00581496">
      <w:pPr>
        <w:pStyle w:val="Odstavekseznama"/>
        <w:spacing w:line="276" w:lineRule="auto"/>
        <w:ind w:left="0"/>
        <w:jc w:val="both"/>
        <w:rPr>
          <w:szCs w:val="20"/>
          <w:lang w:val="sl-SI"/>
        </w:rPr>
      </w:pPr>
      <w:r w:rsidRPr="00581496">
        <w:rPr>
          <w:szCs w:val="20"/>
          <w:lang w:val="sl-SI"/>
        </w:rPr>
        <w:t>Vsaka država članica EU na podlagi 13. člena Uredbe 2022/868/EU imenuje enega ali več pristojnih organov za izvedbo nalog v zvezi s priglasitvenim postopkom za storitve posredovanja podatkov. Tak pristojni organ mora biti pravno ločen in funkcionalno neodvisen od ponudnikov storitev posredovanja podatkov, naloge mora opravljati nepristransko, pregledno, dosledno, zanesljivo in pravočasno, pri opravljanju svojih nalog pa se mora zavzemati za lojalno konkurenco in nediskriminacijo. Zahteve v zvezi s pristojnimi organi opredeljuje 26. člen Uredbe 2022/868/EU.</w:t>
      </w:r>
    </w:p>
    <w:p w14:paraId="2F664E70" w14:textId="77777777" w:rsidR="00581496" w:rsidRPr="00581496" w:rsidRDefault="00581496" w:rsidP="00581496">
      <w:pPr>
        <w:pStyle w:val="Odstavekseznama"/>
        <w:spacing w:line="276" w:lineRule="auto"/>
        <w:ind w:left="0"/>
        <w:jc w:val="both"/>
        <w:rPr>
          <w:szCs w:val="20"/>
          <w:lang w:val="sl-SI"/>
        </w:rPr>
      </w:pPr>
    </w:p>
    <w:p w14:paraId="02DBF589" w14:textId="77777777" w:rsidR="00581496" w:rsidRPr="00581496" w:rsidRDefault="00581496" w:rsidP="00581496">
      <w:pPr>
        <w:pStyle w:val="Odstavekseznama"/>
        <w:spacing w:line="276" w:lineRule="auto"/>
        <w:ind w:left="0"/>
        <w:jc w:val="both"/>
        <w:rPr>
          <w:szCs w:val="20"/>
          <w:lang w:val="sl-SI"/>
        </w:rPr>
      </w:pPr>
      <w:r w:rsidRPr="00581496">
        <w:rPr>
          <w:szCs w:val="20"/>
          <w:lang w:val="sl-SI"/>
        </w:rPr>
        <w:t>Pooblastila pristojnih organov za storitve posredovanja podatkov ne posegajo v pooblastila organov za varstvo podatkov, nacionalnih organov za varstvo konkurence, organov za kibernetsko varnost in drugih ustreznih sektorskih organov. Ti organi v skladu s svojimi pristojnostmi, ki izhajajo iz prava EU in nacionalnega prava, vzpostavijo močno sodelovanje, si izmenjujejo informacije, ki jih potrebujejo za opravljanje svojih nalog v zvezi s ponudniki storitev posredovanja podatkov, ter si prizadevajo za to, da so odločitve, ki jih sprejmejo pri uporabi te uredbe, dosledne.</w:t>
      </w:r>
    </w:p>
    <w:p w14:paraId="4B6729E3" w14:textId="77777777" w:rsidR="00581496" w:rsidRPr="00581496" w:rsidRDefault="00581496" w:rsidP="00581496">
      <w:pPr>
        <w:pStyle w:val="Odstavekseznama"/>
        <w:spacing w:line="276" w:lineRule="auto"/>
        <w:ind w:left="0"/>
        <w:jc w:val="both"/>
        <w:rPr>
          <w:szCs w:val="20"/>
          <w:lang w:val="sl-SI"/>
        </w:rPr>
      </w:pPr>
    </w:p>
    <w:p w14:paraId="4FBECE3F" w14:textId="77777777" w:rsidR="00581496" w:rsidRPr="00581496" w:rsidRDefault="00581496" w:rsidP="00581496">
      <w:pPr>
        <w:pStyle w:val="Odstavekseznama"/>
        <w:spacing w:line="276" w:lineRule="auto"/>
        <w:ind w:left="0"/>
        <w:jc w:val="both"/>
        <w:rPr>
          <w:szCs w:val="20"/>
          <w:lang w:val="sl-SI"/>
        </w:rPr>
      </w:pPr>
      <w:r w:rsidRPr="00581496">
        <w:rPr>
          <w:szCs w:val="20"/>
          <w:lang w:val="sl-SI"/>
        </w:rPr>
        <w:t>S predlogom člena se določa, da bo naloge pristojnega organa iz prvega odstavka 13. člena Uredbe 2022/868/EU izvajalo ministrstvo.</w:t>
      </w:r>
    </w:p>
    <w:p w14:paraId="65FB1D21" w14:textId="77777777" w:rsidR="00581496" w:rsidRPr="00581496" w:rsidRDefault="00581496" w:rsidP="00581496">
      <w:pPr>
        <w:pStyle w:val="Odstavekseznama"/>
        <w:spacing w:line="276" w:lineRule="auto"/>
        <w:ind w:left="0"/>
        <w:jc w:val="both"/>
        <w:rPr>
          <w:szCs w:val="20"/>
          <w:lang w:val="sl-SI"/>
        </w:rPr>
      </w:pPr>
    </w:p>
    <w:p w14:paraId="6D995773" w14:textId="77777777" w:rsidR="00581496" w:rsidRPr="00581496" w:rsidRDefault="00581496" w:rsidP="00581496">
      <w:pPr>
        <w:suppressAutoHyphens/>
        <w:overflowPunct w:val="0"/>
        <w:autoSpaceDE w:val="0"/>
        <w:autoSpaceDN w:val="0"/>
        <w:adjustRightInd w:val="0"/>
        <w:spacing w:line="276" w:lineRule="auto"/>
        <w:jc w:val="both"/>
        <w:textAlignment w:val="baseline"/>
        <w:rPr>
          <w:rFonts w:cs="Arial"/>
          <w:b/>
          <w:szCs w:val="20"/>
          <w:lang w:val="sl-SI"/>
        </w:rPr>
      </w:pPr>
      <w:r w:rsidRPr="00581496">
        <w:rPr>
          <w:rFonts w:cs="Arial"/>
          <w:b/>
          <w:szCs w:val="20"/>
          <w:lang w:val="sl-SI"/>
        </w:rPr>
        <w:t>K 11. členu (uporaba drugih predpisov):</w:t>
      </w:r>
    </w:p>
    <w:p w14:paraId="2EBCB62A" w14:textId="77777777" w:rsidR="00581496" w:rsidRPr="00581496" w:rsidRDefault="00581496" w:rsidP="00581496">
      <w:pPr>
        <w:pStyle w:val="Odstavekseznama"/>
        <w:spacing w:line="276" w:lineRule="auto"/>
        <w:ind w:left="0"/>
        <w:jc w:val="both"/>
        <w:rPr>
          <w:szCs w:val="20"/>
          <w:lang w:val="sl-SI"/>
        </w:rPr>
      </w:pPr>
      <w:r w:rsidRPr="00581496">
        <w:rPr>
          <w:szCs w:val="20"/>
          <w:lang w:val="sl-SI"/>
        </w:rPr>
        <w:t>Predlog člena ureja uporabo drugih predpisov.</w:t>
      </w:r>
    </w:p>
    <w:p w14:paraId="18A52594" w14:textId="77777777" w:rsidR="00581496" w:rsidRPr="00581496" w:rsidRDefault="00581496" w:rsidP="00581496">
      <w:pPr>
        <w:pStyle w:val="Odstavekseznama"/>
        <w:spacing w:line="276" w:lineRule="auto"/>
        <w:ind w:left="0"/>
        <w:jc w:val="both"/>
        <w:rPr>
          <w:szCs w:val="20"/>
          <w:lang w:val="sl-SI"/>
        </w:rPr>
      </w:pPr>
    </w:p>
    <w:p w14:paraId="129F5AB6" w14:textId="77777777" w:rsidR="00581496" w:rsidRPr="00581496" w:rsidRDefault="00581496" w:rsidP="00581496">
      <w:pPr>
        <w:suppressAutoHyphens/>
        <w:overflowPunct w:val="0"/>
        <w:autoSpaceDE w:val="0"/>
        <w:autoSpaceDN w:val="0"/>
        <w:adjustRightInd w:val="0"/>
        <w:spacing w:line="276" w:lineRule="auto"/>
        <w:jc w:val="both"/>
        <w:textAlignment w:val="baseline"/>
        <w:rPr>
          <w:rFonts w:cs="Arial"/>
          <w:b/>
          <w:szCs w:val="20"/>
          <w:lang w:val="sl-SI"/>
        </w:rPr>
      </w:pPr>
      <w:r w:rsidRPr="00581496">
        <w:rPr>
          <w:rFonts w:cs="Arial"/>
          <w:b/>
          <w:szCs w:val="20"/>
          <w:lang w:val="sl-SI"/>
        </w:rPr>
        <w:t>K 12. členu (priglasitev ponudnikov storitev posredovanja podatkov):</w:t>
      </w:r>
    </w:p>
    <w:p w14:paraId="0667B796" w14:textId="77777777" w:rsidR="00581496" w:rsidRPr="00581496" w:rsidRDefault="00581496" w:rsidP="00581496">
      <w:pPr>
        <w:spacing w:line="276" w:lineRule="auto"/>
        <w:jc w:val="both"/>
        <w:rPr>
          <w:rFonts w:cs="Arial"/>
          <w:szCs w:val="20"/>
          <w:lang w:val="sl-SI"/>
        </w:rPr>
      </w:pPr>
      <w:r w:rsidRPr="00581496">
        <w:rPr>
          <w:rFonts w:eastAsiaTheme="minorHAnsi" w:cs="Arial"/>
          <w:szCs w:val="20"/>
          <w:lang w:val="sl-SI"/>
        </w:rPr>
        <w:t>Predlog 12. člena ureja delovanje in postopek pred ministrstvom.</w:t>
      </w:r>
      <w:r w:rsidRPr="00581496">
        <w:rPr>
          <w:rFonts w:cs="Arial"/>
          <w:szCs w:val="20"/>
          <w:lang w:val="sl-SI"/>
        </w:rPr>
        <w:t xml:space="preserve"> Ministrstvo vodi uradno evidenco ponudnikov storitev posredovanja podatkov, ki so mu priglasili opravljanje storitev. Vpis v uradno evidenco ni pogoj za izvajanje pravic in obveznosti, ki jih imajo ponudniki storitev posredovanja po Uredbi 2022/868/EU ali po tem zakonu. Glede na to da skladno z desetim odstavkom 11. člena Uredbe 2022/868/EU Evropska komisija vodi in redno posodablja javni register vseh ponudnikov storitev posredovanja podatkov (objavljen na:</w:t>
      </w:r>
      <w:r w:rsidRPr="00581496">
        <w:rPr>
          <w:lang w:val="sl-SI"/>
        </w:rPr>
        <w:t xml:space="preserve"> </w:t>
      </w:r>
      <w:r w:rsidRPr="00581496">
        <w:rPr>
          <w:rFonts w:cs="Arial"/>
          <w:szCs w:val="20"/>
          <w:lang w:val="sl-SI"/>
        </w:rPr>
        <w:t>https://digital-strategy.ec.europa.eu/en/policies/data-intermediary-services), ki opravljajo svoje storitve v EU, slovenska evidenca ne bo javno objavljena. Predlagani člen le omogoča pravno podlago za izdajanje »izjav« oziroma »potrdil«, kot jih predvidevata osmi in deveti odstavek 11. člena Uredbe 2022/868/EU – v slovenskem pravnem redu gre namreč vsebinsko za izdajanje potrdil in odločb, za katere po zakonu, ki ureja splošni upravni postopek, potrebujemo vzpostavljeno evidenco. Tako v primeru, da bo:</w:t>
      </w:r>
    </w:p>
    <w:p w14:paraId="53FAA333" w14:textId="77777777" w:rsidR="00581496" w:rsidRPr="00581496" w:rsidRDefault="00581496" w:rsidP="00581496">
      <w:pPr>
        <w:pStyle w:val="Odstavekseznama"/>
        <w:numPr>
          <w:ilvl w:val="0"/>
          <w:numId w:val="43"/>
        </w:numPr>
        <w:spacing w:line="276" w:lineRule="auto"/>
        <w:contextualSpacing/>
        <w:jc w:val="both"/>
        <w:rPr>
          <w:szCs w:val="20"/>
          <w:lang w:val="sl-SI"/>
        </w:rPr>
      </w:pPr>
      <w:r w:rsidRPr="00581496">
        <w:rPr>
          <w:szCs w:val="20"/>
          <w:lang w:val="sl-SI"/>
        </w:rPr>
        <w:t>ponudnik storitev posredovanja podatkov podal zahtevo za izdajo potrdila o predložitvi priglasitve (osmi odstavek 11. člena Uredbe 2022/868/EU), mu bo ministrstvo izdalo potrdilo, ki samo po sebi ne bo ustvarjalo pravic in obveznosti po Uredbi 2022/868/EU ali tem zakonu;</w:t>
      </w:r>
    </w:p>
    <w:p w14:paraId="5153ADB9" w14:textId="77777777" w:rsidR="00581496" w:rsidRPr="00581496" w:rsidRDefault="00581496" w:rsidP="00581496">
      <w:pPr>
        <w:pStyle w:val="Odstavekseznama"/>
        <w:numPr>
          <w:ilvl w:val="0"/>
          <w:numId w:val="43"/>
        </w:numPr>
        <w:spacing w:line="276" w:lineRule="auto"/>
        <w:contextualSpacing/>
        <w:jc w:val="both"/>
        <w:rPr>
          <w:szCs w:val="20"/>
          <w:lang w:val="sl-SI"/>
        </w:rPr>
      </w:pPr>
      <w:r w:rsidRPr="00581496">
        <w:rPr>
          <w:szCs w:val="20"/>
          <w:lang w:val="sl-SI"/>
        </w:rPr>
        <w:t>če pa bo ponudnik storitev posredovanja podatkov podal zahtevo iz devetega odstavka 11. člena Uredbe 2022/868/EU, bo ministrstvo o zahtevi odločilo z odločbo. Če bo organ zahtevi ugodil, bo lahko ponudnik storitev posredovanja podatkov v pisni in govorni komunikaciji uporabljal naziv »ponudnik storitev posredovanja podatkov, priznan v Uniji« in skupni logotip.</w:t>
      </w:r>
    </w:p>
    <w:p w14:paraId="123C7604" w14:textId="77777777" w:rsidR="00581496" w:rsidRPr="00581496" w:rsidRDefault="00581496" w:rsidP="00581496">
      <w:pPr>
        <w:spacing w:line="276" w:lineRule="auto"/>
        <w:jc w:val="both"/>
        <w:rPr>
          <w:rFonts w:cs="Arial"/>
          <w:szCs w:val="20"/>
          <w:lang w:val="sl-SI"/>
        </w:rPr>
      </w:pPr>
    </w:p>
    <w:p w14:paraId="348828D5" w14:textId="77777777" w:rsidR="00581496" w:rsidRPr="00581496" w:rsidRDefault="00581496" w:rsidP="00581496">
      <w:pPr>
        <w:spacing w:line="276" w:lineRule="auto"/>
        <w:jc w:val="both"/>
        <w:rPr>
          <w:rFonts w:cs="Arial"/>
          <w:szCs w:val="20"/>
          <w:lang w:val="sl-SI"/>
        </w:rPr>
      </w:pPr>
      <w:r w:rsidRPr="00581496">
        <w:rPr>
          <w:rFonts w:cs="Arial"/>
          <w:szCs w:val="20"/>
          <w:lang w:val="sl-SI"/>
        </w:rPr>
        <w:t xml:space="preserve">Predlog četrtega odstavka tega člena daje ministrstvu možnost, da po uradni dolžnosti iz evidence ponudnikov storitev posredovanja podatkov izbriše ponudnika storitev posredovanja podatkov, ki je ministrstvo obvestil o prenehanju opravljanja dejavnosti ali če je inšpektor za informacijsko družbo ponudniku storitev posredovanja podatkov z dokončno odločbo prepovedal opravljanje dejavnosti. </w:t>
      </w:r>
    </w:p>
    <w:p w14:paraId="669341C0" w14:textId="77777777" w:rsidR="00581496" w:rsidRPr="00581496" w:rsidRDefault="00581496" w:rsidP="00581496">
      <w:pPr>
        <w:suppressAutoHyphens/>
        <w:overflowPunct w:val="0"/>
        <w:autoSpaceDE w:val="0"/>
        <w:autoSpaceDN w:val="0"/>
        <w:adjustRightInd w:val="0"/>
        <w:spacing w:line="276" w:lineRule="auto"/>
        <w:jc w:val="both"/>
        <w:textAlignment w:val="baseline"/>
        <w:rPr>
          <w:rFonts w:cs="Arial"/>
          <w:color w:val="FF0000"/>
          <w:szCs w:val="20"/>
          <w:lang w:val="sl-SI"/>
        </w:rPr>
      </w:pPr>
    </w:p>
    <w:p w14:paraId="3A4E62CE" w14:textId="77777777" w:rsidR="00581496" w:rsidRPr="00581496" w:rsidRDefault="00581496" w:rsidP="00581496">
      <w:pPr>
        <w:suppressAutoHyphens/>
        <w:overflowPunct w:val="0"/>
        <w:autoSpaceDE w:val="0"/>
        <w:autoSpaceDN w:val="0"/>
        <w:adjustRightInd w:val="0"/>
        <w:spacing w:line="276" w:lineRule="auto"/>
        <w:jc w:val="both"/>
        <w:textAlignment w:val="baseline"/>
        <w:rPr>
          <w:rFonts w:cs="Arial"/>
          <w:b/>
          <w:szCs w:val="20"/>
          <w:lang w:val="sl-SI"/>
        </w:rPr>
      </w:pPr>
      <w:r w:rsidRPr="00581496">
        <w:rPr>
          <w:rFonts w:cs="Arial"/>
          <w:b/>
          <w:szCs w:val="20"/>
          <w:lang w:val="sl-SI"/>
        </w:rPr>
        <w:t>K 13. členu (pristojni organ):</w:t>
      </w:r>
    </w:p>
    <w:p w14:paraId="6C313C92" w14:textId="77777777" w:rsidR="00581496" w:rsidRPr="00581496" w:rsidRDefault="00581496" w:rsidP="00581496">
      <w:pPr>
        <w:spacing w:line="276" w:lineRule="auto"/>
        <w:jc w:val="both"/>
        <w:rPr>
          <w:rFonts w:cs="Arial"/>
          <w:szCs w:val="20"/>
          <w:lang w:val="sl-SI"/>
        </w:rPr>
      </w:pPr>
      <w:r w:rsidRPr="00581496">
        <w:rPr>
          <w:rFonts w:cs="Arial"/>
          <w:szCs w:val="20"/>
          <w:lang w:val="sl-SI"/>
        </w:rPr>
        <w:t xml:space="preserve">Vsaka država članica EU imenuje enega ali več pristojnih organov, ki bodo odgovorni za vodenje in redno posodabljanje uradne evidence priznanih organizacij za podatkovni altruizem (Uredba 2022/868/EU jo poimenuje javni nacionalni register priznanih organizacij za podatkovni altruizem). Ti pristojni organi izpolnjujejo zahteve iz 26. člena Uredbe 2022/868/EU (pravna ločenost, funkcionalna neodvisnost, nepristranskost itd.). </w:t>
      </w:r>
    </w:p>
    <w:p w14:paraId="37ED8EAC" w14:textId="77777777" w:rsidR="00581496" w:rsidRPr="00581496" w:rsidRDefault="00581496" w:rsidP="00581496">
      <w:pPr>
        <w:spacing w:line="276" w:lineRule="auto"/>
        <w:jc w:val="both"/>
        <w:rPr>
          <w:rFonts w:cs="Arial"/>
          <w:szCs w:val="20"/>
          <w:lang w:val="sl-SI"/>
        </w:rPr>
      </w:pPr>
    </w:p>
    <w:p w14:paraId="2F872A09" w14:textId="77777777" w:rsidR="00581496" w:rsidRPr="00581496" w:rsidRDefault="00581496" w:rsidP="00581496">
      <w:pPr>
        <w:spacing w:line="276" w:lineRule="auto"/>
        <w:jc w:val="both"/>
        <w:rPr>
          <w:rFonts w:cs="Arial"/>
          <w:szCs w:val="20"/>
          <w:lang w:val="sl-SI"/>
        </w:rPr>
      </w:pPr>
      <w:r w:rsidRPr="00581496">
        <w:rPr>
          <w:rFonts w:cs="Arial"/>
          <w:szCs w:val="20"/>
          <w:lang w:val="sl-SI"/>
        </w:rPr>
        <w:t>Glede na to da se subjekt lahko registrira v javnem nacionalnem registru priznanih organizacij za podatkovni altruizem, če je med drugim pravna oseba, ustanovljena na podlagi nacionalnega prava za doseganje ciljev v splošnem interesu ter če deluje nepridobitno in je pravno neodvisen od katerega koli subjekta, ki deluje pridobitno, je posledično primerno, da naloge pristojnega organa iz prvega odstavka 23. člena Uredbe 2022/868/EU izvaja ministrstvo, sistemsko pristojno za delovanje nevladnih organizacij.</w:t>
      </w:r>
    </w:p>
    <w:p w14:paraId="6F647508" w14:textId="77777777" w:rsidR="00581496" w:rsidRPr="00581496" w:rsidRDefault="00581496" w:rsidP="00581496">
      <w:pPr>
        <w:spacing w:line="276" w:lineRule="auto"/>
        <w:jc w:val="both"/>
        <w:rPr>
          <w:rFonts w:cs="Arial"/>
          <w:szCs w:val="20"/>
          <w:lang w:val="sl-SI"/>
        </w:rPr>
      </w:pPr>
    </w:p>
    <w:p w14:paraId="7BEAA4F8" w14:textId="77777777" w:rsidR="00581496" w:rsidRPr="00581496" w:rsidRDefault="00581496" w:rsidP="00581496">
      <w:pPr>
        <w:spacing w:line="276" w:lineRule="auto"/>
        <w:jc w:val="both"/>
        <w:rPr>
          <w:rFonts w:cs="Arial"/>
          <w:szCs w:val="20"/>
          <w:lang w:val="sl-SI"/>
        </w:rPr>
      </w:pPr>
      <w:r w:rsidRPr="00581496">
        <w:rPr>
          <w:rFonts w:cs="Arial"/>
          <w:szCs w:val="20"/>
          <w:lang w:val="sl-SI"/>
        </w:rPr>
        <w:t>Pristojni organ za registracijo organizacij za podatkovni altruizem na ravni posamezne države članice EU svoje naloge opravlja v sodelovanju z zadevnim organom za varstvo podatkov, kadar so te naloge povezane z obdelavo osebnih podatkov, in z ustreznimi sektorskimi organi te države članice EU.</w:t>
      </w:r>
    </w:p>
    <w:p w14:paraId="73C7C20A" w14:textId="77777777" w:rsidR="00581496" w:rsidRPr="00581496" w:rsidRDefault="00581496" w:rsidP="00581496">
      <w:pPr>
        <w:spacing w:line="276" w:lineRule="auto"/>
        <w:jc w:val="both"/>
        <w:rPr>
          <w:rFonts w:cs="Arial"/>
          <w:szCs w:val="20"/>
          <w:lang w:val="sl-SI"/>
        </w:rPr>
      </w:pPr>
    </w:p>
    <w:p w14:paraId="516BF4E4" w14:textId="77777777" w:rsidR="00581496" w:rsidRPr="00581496" w:rsidRDefault="00581496" w:rsidP="00581496">
      <w:pPr>
        <w:suppressAutoHyphens/>
        <w:overflowPunct w:val="0"/>
        <w:autoSpaceDE w:val="0"/>
        <w:autoSpaceDN w:val="0"/>
        <w:adjustRightInd w:val="0"/>
        <w:spacing w:line="276" w:lineRule="auto"/>
        <w:jc w:val="both"/>
        <w:textAlignment w:val="baseline"/>
        <w:rPr>
          <w:rFonts w:cs="Arial"/>
          <w:b/>
          <w:szCs w:val="20"/>
          <w:lang w:val="sl-SI"/>
        </w:rPr>
      </w:pPr>
      <w:r w:rsidRPr="00581496">
        <w:rPr>
          <w:rFonts w:cs="Arial"/>
          <w:b/>
          <w:szCs w:val="20"/>
          <w:lang w:val="sl-SI"/>
        </w:rPr>
        <w:t>K 14. členu (uporaba drugih predpisov):</w:t>
      </w:r>
    </w:p>
    <w:p w14:paraId="359EA107" w14:textId="77777777" w:rsidR="00581496" w:rsidRPr="00581496" w:rsidRDefault="00581496" w:rsidP="00581496">
      <w:pPr>
        <w:pStyle w:val="Odstavekseznama"/>
        <w:spacing w:line="276" w:lineRule="auto"/>
        <w:ind w:left="0"/>
        <w:jc w:val="both"/>
        <w:rPr>
          <w:szCs w:val="20"/>
          <w:lang w:val="sl-SI"/>
        </w:rPr>
      </w:pPr>
      <w:r w:rsidRPr="00581496">
        <w:rPr>
          <w:szCs w:val="20"/>
          <w:lang w:val="sl-SI"/>
        </w:rPr>
        <w:t>Predlog člena ureja uporabo drugih predpisov.</w:t>
      </w:r>
    </w:p>
    <w:p w14:paraId="219446FD" w14:textId="77777777" w:rsidR="00581496" w:rsidRPr="00581496" w:rsidRDefault="00581496" w:rsidP="00581496">
      <w:pPr>
        <w:pStyle w:val="Odstavekseznama"/>
        <w:spacing w:line="276" w:lineRule="auto"/>
        <w:ind w:left="0"/>
        <w:rPr>
          <w:szCs w:val="20"/>
          <w:lang w:val="sl-SI"/>
        </w:rPr>
      </w:pPr>
    </w:p>
    <w:p w14:paraId="5074094A" w14:textId="77777777" w:rsidR="00581496" w:rsidRPr="00581496" w:rsidRDefault="00581496" w:rsidP="00581496">
      <w:pPr>
        <w:suppressAutoHyphens/>
        <w:overflowPunct w:val="0"/>
        <w:autoSpaceDE w:val="0"/>
        <w:autoSpaceDN w:val="0"/>
        <w:adjustRightInd w:val="0"/>
        <w:spacing w:line="276" w:lineRule="auto"/>
        <w:jc w:val="both"/>
        <w:textAlignment w:val="baseline"/>
        <w:rPr>
          <w:rFonts w:cs="Arial"/>
          <w:b/>
          <w:szCs w:val="20"/>
          <w:lang w:val="sl-SI"/>
        </w:rPr>
      </w:pPr>
      <w:r w:rsidRPr="00581496">
        <w:rPr>
          <w:rFonts w:cs="Arial"/>
          <w:b/>
          <w:szCs w:val="20"/>
          <w:lang w:val="sl-SI"/>
        </w:rPr>
        <w:t>K 15. členu (registracija priznanih organizacij za podatkovni altruizem):</w:t>
      </w:r>
    </w:p>
    <w:p w14:paraId="0E952A43" w14:textId="77777777" w:rsidR="00581496" w:rsidRPr="00581496" w:rsidRDefault="00581496" w:rsidP="00581496">
      <w:pPr>
        <w:pStyle w:val="Odstavekseznama"/>
        <w:spacing w:line="276" w:lineRule="auto"/>
        <w:ind w:left="0"/>
        <w:jc w:val="both"/>
        <w:rPr>
          <w:szCs w:val="20"/>
          <w:lang w:val="sl-SI"/>
        </w:rPr>
      </w:pPr>
      <w:r w:rsidRPr="00581496">
        <w:rPr>
          <w:szCs w:val="20"/>
          <w:lang w:val="sl-SI"/>
        </w:rPr>
        <w:t>Predlog 15. člena ureja postopek pred pristojnim organom za registracijo organizacij za podatkovni altruizem, ki na podlagi vloge preveri, ali subjekt, ki se želi registrirati, izpolnjuje pogoje iz Uredbe 2022/868/EU in tega zakona ter izda odločbo iz petega odstavka 19. člena Uredbe 2022/868/EU. Po vpisu v evidenco bo subjekt lahko v svoji pisni in govorni komunikaciji uporabljal naziv »organizacija za podatkovni altruizem, priznana v Uniji« in skupni logotip.</w:t>
      </w:r>
    </w:p>
    <w:p w14:paraId="0B82FFAB" w14:textId="77777777" w:rsidR="00581496" w:rsidRPr="00581496" w:rsidRDefault="00581496" w:rsidP="00581496">
      <w:pPr>
        <w:pStyle w:val="Odstavekseznama"/>
        <w:spacing w:line="276" w:lineRule="auto"/>
        <w:ind w:left="0"/>
        <w:jc w:val="both"/>
        <w:rPr>
          <w:szCs w:val="20"/>
          <w:lang w:val="sl-SI"/>
        </w:rPr>
      </w:pPr>
    </w:p>
    <w:p w14:paraId="3B9706DB" w14:textId="77777777" w:rsidR="00581496" w:rsidRPr="00581496" w:rsidRDefault="00581496" w:rsidP="00581496">
      <w:pPr>
        <w:pStyle w:val="Odstavekseznama"/>
        <w:spacing w:line="276" w:lineRule="auto"/>
        <w:ind w:left="0"/>
        <w:jc w:val="both"/>
        <w:rPr>
          <w:szCs w:val="20"/>
          <w:lang w:val="sl-SI"/>
        </w:rPr>
      </w:pPr>
      <w:r w:rsidRPr="00581496">
        <w:rPr>
          <w:szCs w:val="20"/>
          <w:lang w:val="sl-SI"/>
        </w:rPr>
        <w:t>Predlog tretjega odstavka tega člena daje pravno podlago za vodenje evidence priznanih organizacij za podatkovni altruizem in njeno javno objavo. V evidenci bodo vsebovani podatki, kot jih predvideva šesti odstavek 19. člena Uredbe 2022/868/EU.</w:t>
      </w:r>
    </w:p>
    <w:p w14:paraId="2BEEE131" w14:textId="77777777" w:rsidR="00581496" w:rsidRPr="00581496" w:rsidRDefault="00581496" w:rsidP="00581496">
      <w:pPr>
        <w:pStyle w:val="Odstavekseznama"/>
        <w:spacing w:line="276" w:lineRule="auto"/>
        <w:ind w:left="0"/>
        <w:jc w:val="both"/>
        <w:rPr>
          <w:szCs w:val="20"/>
          <w:lang w:val="sl-SI"/>
        </w:rPr>
      </w:pPr>
    </w:p>
    <w:p w14:paraId="0641E248" w14:textId="77777777" w:rsidR="00581496" w:rsidRPr="00581496" w:rsidRDefault="00581496" w:rsidP="00581496">
      <w:pPr>
        <w:pStyle w:val="Odstavekseznama"/>
        <w:spacing w:line="276" w:lineRule="auto"/>
        <w:ind w:left="0"/>
        <w:jc w:val="both"/>
        <w:rPr>
          <w:szCs w:val="20"/>
          <w:lang w:val="sl-SI"/>
        </w:rPr>
      </w:pPr>
      <w:r w:rsidRPr="00581496">
        <w:rPr>
          <w:szCs w:val="20"/>
          <w:lang w:val="sl-SI"/>
        </w:rPr>
        <w:t>Glede na to da je pristojni organ za registracijo organizacij za podatkovni altruizem pred vpisom v uradno evidenco priznanih organizacij za podatkovni altruizem preveril izpolnjevanje pogojev za določen subjekt, je sistemsko primerno, da je skladno s predlogom četrtega odstavka tega člena tak organ pristojen tudi za izbris subjekta iz uradne evidence priznanih organizacij za podatkovni altruizem, če mu je inšpektor za informacijsko družbo z dokončno odločbo prepovedal opravljanje dejavnosti.</w:t>
      </w:r>
    </w:p>
    <w:p w14:paraId="28929097" w14:textId="77777777" w:rsidR="00581496" w:rsidRPr="00581496" w:rsidRDefault="00581496" w:rsidP="00581496">
      <w:pPr>
        <w:spacing w:line="276" w:lineRule="auto"/>
        <w:jc w:val="both"/>
        <w:rPr>
          <w:rFonts w:cs="Arial"/>
          <w:szCs w:val="20"/>
          <w:lang w:val="sl-SI"/>
        </w:rPr>
      </w:pPr>
    </w:p>
    <w:p w14:paraId="19C1BFAF" w14:textId="77777777" w:rsidR="00581496" w:rsidRPr="00581496" w:rsidRDefault="00581496" w:rsidP="00581496">
      <w:pPr>
        <w:suppressAutoHyphens/>
        <w:overflowPunct w:val="0"/>
        <w:autoSpaceDE w:val="0"/>
        <w:autoSpaceDN w:val="0"/>
        <w:adjustRightInd w:val="0"/>
        <w:spacing w:line="276" w:lineRule="auto"/>
        <w:jc w:val="both"/>
        <w:textAlignment w:val="baseline"/>
        <w:rPr>
          <w:rFonts w:cs="Arial"/>
          <w:b/>
          <w:szCs w:val="20"/>
          <w:lang w:val="sl-SI"/>
        </w:rPr>
      </w:pPr>
      <w:r w:rsidRPr="00581496">
        <w:rPr>
          <w:rFonts w:cs="Arial"/>
          <w:b/>
          <w:szCs w:val="20"/>
          <w:lang w:val="sl-SI"/>
        </w:rPr>
        <w:t>K 16. členu (nadzor):</w:t>
      </w:r>
    </w:p>
    <w:p w14:paraId="38E35359" w14:textId="77777777" w:rsidR="00581496" w:rsidRPr="00581496" w:rsidRDefault="00581496" w:rsidP="00581496">
      <w:pPr>
        <w:spacing w:line="276" w:lineRule="auto"/>
        <w:jc w:val="both"/>
        <w:rPr>
          <w:rFonts w:cs="Arial"/>
          <w:szCs w:val="20"/>
          <w:lang w:val="sl-SI"/>
        </w:rPr>
      </w:pPr>
      <w:r w:rsidRPr="00581496">
        <w:rPr>
          <w:rFonts w:cs="Arial"/>
          <w:szCs w:val="20"/>
          <w:lang w:val="sl-SI"/>
        </w:rPr>
        <w:t xml:space="preserve">Predlog člena določa pristojnost inšpekcije za informacijsko družbo za izvajanje nadzora nad izvajanjem Uredbe 2022/868/EU, delegiranih aktov, sprejetih na podlagi Uredbe 2022/868/EU, in tega zakona. Skladno s 13. in 14. členom Uredbe 2022/868/EU mora vsaka država članica EU imenovati enega ali več pristojnih organov za izvedbo nalog v zvezi s priglasitvenim postopkom za storitve posredovanja podatkov, torej tudi nalog spremljanja in nadzorovanja skladnosti ponudnikov storitev posredovanja podatkov z zahtevami iz omenjene uredbe. Poleg tega mora država članica določiti tudi organ, ki spremlja in nadzoruje skladnost priznanih organizacij za podatkovni altruizem z zahtevami iz Uredbe 2022/868/EU. </w:t>
      </w:r>
    </w:p>
    <w:p w14:paraId="04014EB5" w14:textId="77777777" w:rsidR="00581496" w:rsidRPr="00581496" w:rsidRDefault="00581496" w:rsidP="00581496">
      <w:pPr>
        <w:spacing w:line="276" w:lineRule="auto"/>
        <w:jc w:val="both"/>
        <w:rPr>
          <w:rFonts w:cs="Arial"/>
          <w:szCs w:val="20"/>
          <w:lang w:val="sl-SI"/>
        </w:rPr>
      </w:pPr>
    </w:p>
    <w:p w14:paraId="41353345" w14:textId="77777777" w:rsidR="00581496" w:rsidRPr="00581496" w:rsidRDefault="00581496" w:rsidP="00581496">
      <w:pPr>
        <w:pStyle w:val="Odstavekseznama"/>
        <w:spacing w:line="276" w:lineRule="auto"/>
        <w:ind w:left="0"/>
        <w:jc w:val="both"/>
        <w:rPr>
          <w:szCs w:val="20"/>
          <w:lang w:val="sl-SI"/>
        </w:rPr>
      </w:pPr>
      <w:r w:rsidRPr="00581496">
        <w:rPr>
          <w:szCs w:val="20"/>
          <w:lang w:val="sl-SI"/>
        </w:rPr>
        <w:t>Predlog drugega odstavka tega člena daje pravno podlago inšpektorju za informacijsko družbo, ki z odločbo prepove opravljanje dejavnosti ponudniku storitev posredovanja podatkov ali priznani organizaciji za podatkovni altruizem, da o tem obvesti ustrezni pristojni organ iz 10. ali 13. člena tega zakona, ki nato zadevni subjekt izbriše iz ustrezne evidence.</w:t>
      </w:r>
    </w:p>
    <w:p w14:paraId="30FCBCC7" w14:textId="77777777" w:rsidR="00581496" w:rsidRPr="00581496" w:rsidRDefault="00581496" w:rsidP="00581496">
      <w:pPr>
        <w:spacing w:line="276" w:lineRule="auto"/>
        <w:jc w:val="both"/>
        <w:rPr>
          <w:rFonts w:cs="Arial"/>
          <w:szCs w:val="20"/>
          <w:lang w:val="sl-SI"/>
        </w:rPr>
      </w:pPr>
    </w:p>
    <w:p w14:paraId="6AE2E88B" w14:textId="77777777" w:rsidR="00581496" w:rsidRPr="00581496" w:rsidRDefault="00581496" w:rsidP="00581496">
      <w:pPr>
        <w:suppressAutoHyphens/>
        <w:overflowPunct w:val="0"/>
        <w:autoSpaceDE w:val="0"/>
        <w:autoSpaceDN w:val="0"/>
        <w:adjustRightInd w:val="0"/>
        <w:spacing w:line="276" w:lineRule="auto"/>
        <w:jc w:val="both"/>
        <w:textAlignment w:val="baseline"/>
        <w:rPr>
          <w:rFonts w:cs="Arial"/>
          <w:b/>
          <w:szCs w:val="20"/>
          <w:lang w:val="sl-SI"/>
        </w:rPr>
      </w:pPr>
      <w:r w:rsidRPr="00581496">
        <w:rPr>
          <w:rFonts w:cs="Arial"/>
          <w:b/>
          <w:szCs w:val="20"/>
          <w:lang w:val="sl-SI"/>
        </w:rPr>
        <w:t>K členom, ki urejajo prekrške (17. – 23. člen):</w:t>
      </w:r>
    </w:p>
    <w:p w14:paraId="1E001CED" w14:textId="77777777" w:rsidR="00581496" w:rsidRPr="00581496" w:rsidRDefault="00581496" w:rsidP="00581496">
      <w:pPr>
        <w:spacing w:line="276" w:lineRule="auto"/>
        <w:jc w:val="both"/>
        <w:rPr>
          <w:rFonts w:cs="Arial"/>
          <w:szCs w:val="20"/>
          <w:lang w:val="sl-SI"/>
        </w:rPr>
      </w:pPr>
      <w:r w:rsidRPr="00581496">
        <w:rPr>
          <w:rFonts w:cs="Arial"/>
          <w:szCs w:val="20"/>
          <w:lang w:val="sl-SI"/>
        </w:rPr>
        <w:t>Višina globe je predpisana različno glede na kategorijo storilca prekrška, s čimer se uresničuje določba prvega odstavka 34. člena Uredbe 2022/868/EU, da morajo biti kazni učinkovite, sorazmerne in odvračilne. Zavezanci iz Uredbe 2022/868/EU se med seboj razlikujejo glede na pravnoorganizacijske oblike, v katerih lahko izvajajo storitve posredovanja podatkov ali storitve podatkovnega altruizma oziroma so ponovni uporabniki zaščitenih podatkov javnega sektorja, zato je tudi višina globe, ki bo zadostila merilu odvračilnosti in učinkovitosti, določena v razponu. Razponi glob so določeni znotraj okvirjev, ki jih predvideva 17. člen Zakona o prekrških (Uradni list RS, št. 29/11 – uradno prečiščeno besedilo, 21/13, 111/13, 74/14 – odl. US, 92/14 – odl. US, 32/16, 15/17 – odl. US, 73/19 – odl. US, 175/20 – ZIUOPDVE in 5/21 – odl. US):</w:t>
      </w:r>
    </w:p>
    <w:p w14:paraId="05627077" w14:textId="77777777" w:rsidR="00581496" w:rsidRPr="00581496" w:rsidRDefault="00581496" w:rsidP="00581496">
      <w:pPr>
        <w:pStyle w:val="Odstavekseznama"/>
        <w:numPr>
          <w:ilvl w:val="0"/>
          <w:numId w:val="44"/>
        </w:numPr>
        <w:spacing w:line="276" w:lineRule="auto"/>
        <w:contextualSpacing/>
        <w:jc w:val="both"/>
        <w:rPr>
          <w:szCs w:val="20"/>
          <w:lang w:val="sl-SI"/>
        </w:rPr>
      </w:pPr>
      <w:r w:rsidRPr="00581496">
        <w:rPr>
          <w:szCs w:val="20"/>
          <w:lang w:val="sl-SI"/>
        </w:rPr>
        <w:t xml:space="preserve">za posameznika, samostojnega podjetnika posameznika in </w:t>
      </w:r>
      <w:bookmarkStart w:id="22" w:name="_Hlk156307387"/>
      <w:r w:rsidRPr="00581496">
        <w:rPr>
          <w:szCs w:val="20"/>
          <w:lang w:val="sl-SI"/>
        </w:rPr>
        <w:t>posameznika, ki samostojno opravlja dejavnost, od 400 do 1.200 eurov;</w:t>
      </w:r>
    </w:p>
    <w:bookmarkEnd w:id="22"/>
    <w:p w14:paraId="2C8139D5" w14:textId="77777777" w:rsidR="00581496" w:rsidRPr="00581496" w:rsidRDefault="00581496" w:rsidP="00581496">
      <w:pPr>
        <w:pStyle w:val="Odstavekseznama"/>
        <w:numPr>
          <w:ilvl w:val="0"/>
          <w:numId w:val="44"/>
        </w:numPr>
        <w:spacing w:line="276" w:lineRule="auto"/>
        <w:contextualSpacing/>
        <w:jc w:val="both"/>
        <w:rPr>
          <w:szCs w:val="20"/>
          <w:lang w:val="sl-SI"/>
        </w:rPr>
      </w:pPr>
      <w:r w:rsidRPr="00581496">
        <w:rPr>
          <w:szCs w:val="20"/>
          <w:lang w:val="sl-SI"/>
        </w:rPr>
        <w:t>za pravno osebo od 4.500 do 60.000 eurov;</w:t>
      </w:r>
    </w:p>
    <w:p w14:paraId="7494677C" w14:textId="77777777" w:rsidR="00581496" w:rsidRPr="00581496" w:rsidRDefault="00581496" w:rsidP="00581496">
      <w:pPr>
        <w:pStyle w:val="Odstavekseznama"/>
        <w:numPr>
          <w:ilvl w:val="0"/>
          <w:numId w:val="44"/>
        </w:numPr>
        <w:spacing w:line="276" w:lineRule="auto"/>
        <w:contextualSpacing/>
        <w:jc w:val="both"/>
        <w:rPr>
          <w:szCs w:val="20"/>
          <w:lang w:val="sl-SI"/>
        </w:rPr>
      </w:pPr>
      <w:r w:rsidRPr="00581496">
        <w:rPr>
          <w:szCs w:val="20"/>
          <w:lang w:val="sl-SI"/>
        </w:rPr>
        <w:t>za odgovorno osebo pravne osebe ali odgovorno osebo samostojnega podjetnika posameznika oziroma posameznika, ki samostojno opravlja dejavnost, in za odgovorno osebo v državnem organu, v samoupravni lokalni skupnosti od 400 do 6.000 eurov.</w:t>
      </w:r>
    </w:p>
    <w:p w14:paraId="7C52E858" w14:textId="77777777" w:rsidR="00581496" w:rsidRPr="00581496" w:rsidRDefault="00581496" w:rsidP="00581496">
      <w:pPr>
        <w:spacing w:line="276" w:lineRule="auto"/>
        <w:jc w:val="both"/>
        <w:rPr>
          <w:rFonts w:cs="Arial"/>
          <w:szCs w:val="20"/>
          <w:lang w:val="sl-SI"/>
        </w:rPr>
      </w:pPr>
    </w:p>
    <w:p w14:paraId="13A8722E" w14:textId="77777777" w:rsidR="00581496" w:rsidRPr="00581496" w:rsidRDefault="00581496" w:rsidP="00581496">
      <w:pPr>
        <w:spacing w:line="276" w:lineRule="auto"/>
        <w:jc w:val="both"/>
        <w:rPr>
          <w:rFonts w:cs="Arial"/>
          <w:szCs w:val="20"/>
          <w:lang w:val="sl-SI"/>
        </w:rPr>
      </w:pPr>
      <w:r w:rsidRPr="00581496">
        <w:rPr>
          <w:rFonts w:cs="Arial"/>
          <w:szCs w:val="20"/>
          <w:lang w:val="sl-SI"/>
        </w:rPr>
        <w:t xml:space="preserve">Države članice EU skladno z Uredbo 2022/868/EU določijo pravila o kaznih, ki se uporabljajo za kršitve obveznosti v zvezi s prenosi neosebnih podatkov v tretje države, obveznosti priglasitve ponudnikov storitev posredovanja podatkov, pogojev za opravljanje storitev posredovanja podatkov in pogojev za registracijo kot priznana organizacija za podatkovni altruizem ter sprejmejo vse potrebne ukrepe za zagotovitev, da se te kazni izvajajo. </w:t>
      </w:r>
    </w:p>
    <w:p w14:paraId="40310C14" w14:textId="77777777" w:rsidR="00581496" w:rsidRPr="00581496" w:rsidRDefault="00581496" w:rsidP="00581496">
      <w:pPr>
        <w:spacing w:line="276" w:lineRule="auto"/>
        <w:jc w:val="both"/>
        <w:rPr>
          <w:rFonts w:cs="Arial"/>
          <w:color w:val="FF0000"/>
          <w:szCs w:val="20"/>
          <w:lang w:val="sl-SI"/>
        </w:rPr>
      </w:pPr>
    </w:p>
    <w:p w14:paraId="34A92C0A" w14:textId="77777777" w:rsidR="00581496" w:rsidRPr="00581496" w:rsidRDefault="00581496" w:rsidP="00581496">
      <w:pPr>
        <w:suppressAutoHyphens/>
        <w:overflowPunct w:val="0"/>
        <w:autoSpaceDE w:val="0"/>
        <w:autoSpaceDN w:val="0"/>
        <w:adjustRightInd w:val="0"/>
        <w:spacing w:line="276" w:lineRule="auto"/>
        <w:jc w:val="both"/>
        <w:textAlignment w:val="baseline"/>
        <w:rPr>
          <w:rFonts w:cs="Arial"/>
          <w:b/>
          <w:szCs w:val="20"/>
          <w:lang w:val="sl-SI"/>
        </w:rPr>
      </w:pPr>
      <w:r w:rsidRPr="00581496">
        <w:rPr>
          <w:rFonts w:cs="Arial"/>
          <w:b/>
          <w:szCs w:val="20"/>
          <w:lang w:val="sl-SI"/>
        </w:rPr>
        <w:t>K 17. členu (prekrški):</w:t>
      </w:r>
    </w:p>
    <w:p w14:paraId="590B4E21" w14:textId="77777777" w:rsidR="00581496" w:rsidRPr="00581496" w:rsidRDefault="00581496" w:rsidP="00581496">
      <w:pPr>
        <w:spacing w:line="276" w:lineRule="auto"/>
        <w:jc w:val="both"/>
        <w:rPr>
          <w:rFonts w:cs="Arial"/>
          <w:szCs w:val="20"/>
          <w:lang w:val="sl-SI"/>
        </w:rPr>
      </w:pPr>
      <w:r w:rsidRPr="00581496">
        <w:rPr>
          <w:rFonts w:cs="Arial"/>
          <w:szCs w:val="20"/>
          <w:lang w:val="sl-SI"/>
        </w:rPr>
        <w:t>Predlog 17. člena predvideva prekrške v primeru kršitev obveznosti v zvezi s prenosi neosebnih podatkov v tretje države po 14. odstavku 5. člena Uredbe 2022/868/EU. Ta predvideva, da lahko fizična ali pravna oseba, ki ji je bila podeljena pravica do ponovne uporabe neosebnih podatkov, podatke prenese samo v tiste tretje države, za katere so izpolnjene določene zahteve (zaveza s pogodbo, da bo ponovni uporabnik ob prenosu neosebnih zaupnih podatkov ali podatkov, za katere velja varstvo pravic intelektualne lastnine, v tretje države izpolnjeval obveznosti, v skladu z Uredbo 2022/868/EU in da bo za reševanje kakršnega koli spora v zvezi z izpolnjevanjem obveznosti priznal pristojnost sodišč države članice EU, v kateri je organa javnega sektorja, ki mu je podatke posredoval; spoštovanje izvedbenih in delegiranih aktov Evropske komisije).</w:t>
      </w:r>
    </w:p>
    <w:p w14:paraId="21C1214E" w14:textId="77777777" w:rsidR="00581496" w:rsidRPr="00581496" w:rsidRDefault="00581496" w:rsidP="00581496">
      <w:pPr>
        <w:spacing w:line="276" w:lineRule="auto"/>
        <w:jc w:val="both"/>
        <w:rPr>
          <w:rFonts w:cs="Arial"/>
          <w:szCs w:val="20"/>
          <w:lang w:val="sl-SI"/>
        </w:rPr>
      </w:pPr>
    </w:p>
    <w:p w14:paraId="09277499" w14:textId="77777777" w:rsidR="00581496" w:rsidRPr="00581496" w:rsidRDefault="00581496" w:rsidP="00581496">
      <w:pPr>
        <w:spacing w:line="276" w:lineRule="auto"/>
        <w:jc w:val="both"/>
        <w:rPr>
          <w:rFonts w:cs="Arial"/>
          <w:szCs w:val="20"/>
          <w:lang w:val="sl-SI"/>
        </w:rPr>
      </w:pPr>
      <w:r w:rsidRPr="00581496">
        <w:rPr>
          <w:rFonts w:cs="Arial"/>
          <w:szCs w:val="20"/>
          <w:lang w:val="sl-SI"/>
        </w:rPr>
        <w:t>Predlog člena predvideva tudi sankcijo v primeru, da ponovni uporabnik uporabi zaščitene podatke javnega sektorja v nasprotju z namenom iz drugega odstavka 4. člena tega zakona (torej v nasprotju z znanstvenoraziskovalnimi, zgodovinskoraziskovalnimi in statističnimi nameni).</w:t>
      </w:r>
    </w:p>
    <w:p w14:paraId="49B0BB18" w14:textId="77777777" w:rsidR="00581496" w:rsidRPr="00581496" w:rsidRDefault="00581496" w:rsidP="00581496">
      <w:pPr>
        <w:spacing w:line="276" w:lineRule="auto"/>
        <w:jc w:val="both"/>
        <w:rPr>
          <w:rFonts w:cs="Arial"/>
          <w:szCs w:val="20"/>
          <w:lang w:val="sl-SI"/>
        </w:rPr>
      </w:pPr>
    </w:p>
    <w:p w14:paraId="1C065353" w14:textId="77777777" w:rsidR="00581496" w:rsidRPr="00581496" w:rsidRDefault="00581496" w:rsidP="00581496">
      <w:pPr>
        <w:suppressAutoHyphens/>
        <w:overflowPunct w:val="0"/>
        <w:autoSpaceDE w:val="0"/>
        <w:autoSpaceDN w:val="0"/>
        <w:adjustRightInd w:val="0"/>
        <w:spacing w:line="276" w:lineRule="auto"/>
        <w:jc w:val="both"/>
        <w:textAlignment w:val="baseline"/>
        <w:rPr>
          <w:rFonts w:cs="Arial"/>
          <w:b/>
          <w:szCs w:val="20"/>
          <w:lang w:val="sl-SI"/>
        </w:rPr>
      </w:pPr>
      <w:r w:rsidRPr="00581496">
        <w:rPr>
          <w:rFonts w:cs="Arial"/>
          <w:b/>
          <w:szCs w:val="20"/>
          <w:lang w:val="sl-SI"/>
        </w:rPr>
        <w:t>K 18. členu (prekrški):</w:t>
      </w:r>
    </w:p>
    <w:p w14:paraId="39B75532" w14:textId="77777777" w:rsidR="00581496" w:rsidRPr="00581496" w:rsidRDefault="00581496" w:rsidP="00581496">
      <w:pPr>
        <w:spacing w:line="276" w:lineRule="auto"/>
        <w:jc w:val="both"/>
        <w:rPr>
          <w:rFonts w:cs="Arial"/>
          <w:szCs w:val="20"/>
          <w:lang w:val="sl-SI"/>
        </w:rPr>
      </w:pPr>
      <w:r w:rsidRPr="00581496">
        <w:rPr>
          <w:rFonts w:cs="Arial"/>
          <w:szCs w:val="20"/>
          <w:lang w:val="sl-SI"/>
        </w:rPr>
        <w:t>Predlog 18. člena predvideva prekrške v primeru kršitev obveznosti priglasitve ponudnikov storitev posredovanja podatkov iz 11. in 12. člena Uredbe 2022/868/EU. Prekršek se nanaša na obveznosti, ki jih mora spoštovati subjekt, ki želi izvajati ali že izvaja storitve posredovanja podatkov:</w:t>
      </w:r>
    </w:p>
    <w:p w14:paraId="494C21ED" w14:textId="77777777" w:rsidR="00581496" w:rsidRPr="00581496" w:rsidRDefault="00581496" w:rsidP="00581496">
      <w:pPr>
        <w:numPr>
          <w:ilvl w:val="0"/>
          <w:numId w:val="46"/>
        </w:numPr>
        <w:spacing w:line="276" w:lineRule="auto"/>
        <w:jc w:val="both"/>
        <w:rPr>
          <w:rFonts w:cs="Arial"/>
          <w:szCs w:val="20"/>
          <w:lang w:val="sl-SI"/>
        </w:rPr>
      </w:pPr>
      <w:r w:rsidRPr="00581496">
        <w:rPr>
          <w:rFonts w:cs="Arial"/>
          <w:szCs w:val="20"/>
          <w:lang w:val="sl-SI"/>
        </w:rPr>
        <w:t>priglasitev opravljanja storitve posredovanja podatkov (prvi odstavek 11. člena Uredbe 2022/868/EU);</w:t>
      </w:r>
    </w:p>
    <w:p w14:paraId="08BE54DF" w14:textId="77777777" w:rsidR="00581496" w:rsidRPr="00581496" w:rsidRDefault="00581496" w:rsidP="00581496">
      <w:pPr>
        <w:numPr>
          <w:ilvl w:val="0"/>
          <w:numId w:val="46"/>
        </w:numPr>
        <w:spacing w:line="276" w:lineRule="auto"/>
        <w:jc w:val="both"/>
        <w:rPr>
          <w:rFonts w:cs="Arial"/>
          <w:szCs w:val="20"/>
          <w:lang w:val="sl-SI"/>
        </w:rPr>
      </w:pPr>
      <w:r w:rsidRPr="00581496">
        <w:rPr>
          <w:rFonts w:cs="Arial"/>
          <w:szCs w:val="20"/>
          <w:lang w:val="sl-SI"/>
        </w:rPr>
        <w:t>imenovanje zakonitega zastopnika, če nima sedeža v Evropski uniji (tretji odstavek 11. člena Uredbe 2022/868/EU);</w:t>
      </w:r>
    </w:p>
    <w:p w14:paraId="08CAA557" w14:textId="77777777" w:rsidR="00581496" w:rsidRPr="00581496" w:rsidRDefault="00581496" w:rsidP="00581496">
      <w:pPr>
        <w:numPr>
          <w:ilvl w:val="0"/>
          <w:numId w:val="46"/>
        </w:numPr>
        <w:spacing w:line="276" w:lineRule="auto"/>
        <w:jc w:val="both"/>
        <w:rPr>
          <w:rFonts w:cs="Arial"/>
          <w:szCs w:val="20"/>
          <w:lang w:val="sl-SI"/>
        </w:rPr>
      </w:pPr>
      <w:r w:rsidRPr="00581496">
        <w:rPr>
          <w:rFonts w:cs="Arial"/>
          <w:szCs w:val="20"/>
          <w:lang w:val="sl-SI"/>
        </w:rPr>
        <w:t>opravljanje dejavnosti ob izpolnjevanju pogojev iz Uredbe 2022/868/EU (četrti odstavek 11. člena Uredbe 2022/868/EU);</w:t>
      </w:r>
    </w:p>
    <w:p w14:paraId="6135A22A" w14:textId="77777777" w:rsidR="00581496" w:rsidRPr="00581496" w:rsidRDefault="00581496" w:rsidP="00581496">
      <w:pPr>
        <w:numPr>
          <w:ilvl w:val="0"/>
          <w:numId w:val="46"/>
        </w:numPr>
        <w:spacing w:line="276" w:lineRule="auto"/>
        <w:jc w:val="both"/>
        <w:rPr>
          <w:rFonts w:cs="Arial"/>
          <w:szCs w:val="20"/>
          <w:lang w:val="sl-SI"/>
        </w:rPr>
      </w:pPr>
      <w:r w:rsidRPr="00581496">
        <w:rPr>
          <w:rFonts w:cs="Arial"/>
          <w:szCs w:val="20"/>
          <w:lang w:val="sl-SI"/>
        </w:rPr>
        <w:t>ne sme uporabljati v pisni in govorni komunikaciji naziva »ponudnik storitev posredovanja podatkov, priznan v Uniji« in skupnega logotipa, če mu ni bila izdana dokončna odločba iz tretjega odstavka 12. člena tega zakona (deveti odstavek 11. člena Uredbe 2022/868/EU);</w:t>
      </w:r>
    </w:p>
    <w:p w14:paraId="619B21DD" w14:textId="77777777" w:rsidR="00581496" w:rsidRPr="00581496" w:rsidRDefault="00581496" w:rsidP="00581496">
      <w:pPr>
        <w:numPr>
          <w:ilvl w:val="0"/>
          <w:numId w:val="46"/>
        </w:numPr>
        <w:spacing w:line="276" w:lineRule="auto"/>
        <w:jc w:val="both"/>
        <w:rPr>
          <w:rFonts w:cs="Arial"/>
          <w:szCs w:val="20"/>
          <w:lang w:val="sl-SI"/>
        </w:rPr>
      </w:pPr>
      <w:r w:rsidRPr="00581496">
        <w:rPr>
          <w:rFonts w:cs="Arial"/>
          <w:szCs w:val="20"/>
          <w:lang w:val="sl-SI"/>
        </w:rPr>
        <w:t>obveščanje pristojnega organa v roku o spremembah informacij iz šestega odstavka 11. člena Uredbe 2022/868/EU (dvanajsti odstavek 11. člena Uredbe 2022/868/EU) ali o prenehanju opravljanja dejavnosti (trinajsti odstavek 11. člena Uredbe 2022/868/EU);</w:t>
      </w:r>
    </w:p>
    <w:p w14:paraId="176EF7C0" w14:textId="77777777" w:rsidR="00581496" w:rsidRPr="00581496" w:rsidRDefault="00581496" w:rsidP="00581496">
      <w:pPr>
        <w:numPr>
          <w:ilvl w:val="0"/>
          <w:numId w:val="46"/>
        </w:numPr>
        <w:spacing w:line="276" w:lineRule="auto"/>
        <w:jc w:val="both"/>
        <w:rPr>
          <w:rFonts w:cs="Arial"/>
          <w:szCs w:val="20"/>
          <w:lang w:val="sl-SI"/>
        </w:rPr>
      </w:pPr>
      <w:r w:rsidRPr="00581496">
        <w:rPr>
          <w:rFonts w:cs="Arial"/>
          <w:szCs w:val="20"/>
          <w:lang w:val="sl-SI"/>
        </w:rPr>
        <w:t>izpolnjevanje 15 podrobno opisanih pogojev za opravljanje storitve iz 12. člena Uredbe 2022/868/EU. Dosledno spoštovanje obveznosti iz 12. člena Uredbe 2022/868/EU je pomembno za povečanje zaupanja in nadzora za imetnike podatkov, posameznike, na katere se nanašajo osebni podatki, in uporabnike podatkov pri storitvah posredovanja podatkov in ključno vpliva na nevtralnost ponudnikov storitev in s tem na zaupanje v izmenjavo podatkov.</w:t>
      </w:r>
    </w:p>
    <w:p w14:paraId="172339C6" w14:textId="77777777" w:rsidR="00581496" w:rsidRPr="00581496" w:rsidRDefault="00581496" w:rsidP="00581496">
      <w:pPr>
        <w:spacing w:line="276" w:lineRule="auto"/>
        <w:jc w:val="both"/>
        <w:rPr>
          <w:rFonts w:cs="Arial"/>
          <w:szCs w:val="20"/>
          <w:lang w:val="sl-SI"/>
        </w:rPr>
      </w:pPr>
    </w:p>
    <w:p w14:paraId="3D6C1D2C" w14:textId="77777777" w:rsidR="00581496" w:rsidRPr="00581496" w:rsidRDefault="00581496" w:rsidP="00581496">
      <w:pPr>
        <w:suppressAutoHyphens/>
        <w:overflowPunct w:val="0"/>
        <w:autoSpaceDE w:val="0"/>
        <w:autoSpaceDN w:val="0"/>
        <w:adjustRightInd w:val="0"/>
        <w:spacing w:line="276" w:lineRule="auto"/>
        <w:jc w:val="both"/>
        <w:textAlignment w:val="baseline"/>
        <w:rPr>
          <w:rFonts w:cs="Arial"/>
          <w:b/>
          <w:szCs w:val="20"/>
          <w:lang w:val="sl-SI"/>
        </w:rPr>
      </w:pPr>
      <w:r w:rsidRPr="00581496">
        <w:rPr>
          <w:rFonts w:cs="Arial"/>
          <w:b/>
          <w:szCs w:val="20"/>
          <w:lang w:val="sl-SI"/>
        </w:rPr>
        <w:t>K 19. členu (prekrški):</w:t>
      </w:r>
    </w:p>
    <w:p w14:paraId="77A7FC52" w14:textId="77777777" w:rsidR="00581496" w:rsidRPr="00581496" w:rsidRDefault="00581496" w:rsidP="00581496">
      <w:pPr>
        <w:spacing w:line="276" w:lineRule="auto"/>
        <w:jc w:val="both"/>
        <w:rPr>
          <w:rFonts w:cs="Arial"/>
          <w:szCs w:val="20"/>
          <w:lang w:val="sl-SI"/>
        </w:rPr>
      </w:pPr>
      <w:r w:rsidRPr="00581496">
        <w:rPr>
          <w:rFonts w:cs="Arial"/>
          <w:szCs w:val="20"/>
          <w:lang w:val="sl-SI"/>
        </w:rPr>
        <w:t>Predlog 19. člena predvideva prekrške v primeru kršitev splošnih zahtev za registracijo kot priznana organizacija za podatkovni altruizem iz 18. člena Uredbe 2022/868/EU.</w:t>
      </w:r>
    </w:p>
    <w:p w14:paraId="0287BFBE" w14:textId="77777777" w:rsidR="00581496" w:rsidRPr="00581496" w:rsidRDefault="00581496" w:rsidP="00581496">
      <w:pPr>
        <w:spacing w:line="276" w:lineRule="auto"/>
        <w:jc w:val="both"/>
        <w:rPr>
          <w:rFonts w:cs="Arial"/>
          <w:szCs w:val="20"/>
          <w:lang w:val="sl-SI"/>
        </w:rPr>
      </w:pPr>
    </w:p>
    <w:p w14:paraId="2CD38982" w14:textId="77777777" w:rsidR="00581496" w:rsidRPr="00581496" w:rsidRDefault="00581496" w:rsidP="00581496">
      <w:pPr>
        <w:spacing w:line="276" w:lineRule="auto"/>
        <w:jc w:val="both"/>
        <w:rPr>
          <w:rFonts w:cs="Arial"/>
          <w:szCs w:val="20"/>
          <w:lang w:val="sl-SI"/>
        </w:rPr>
      </w:pPr>
      <w:r w:rsidRPr="00581496">
        <w:rPr>
          <w:rFonts w:cs="Arial"/>
          <w:szCs w:val="20"/>
          <w:lang w:val="sl-SI"/>
        </w:rPr>
        <w:t>Skladno s 46. recitalom Uredbe 2022/868/EU se pričakuje, da bo izpolnjevanje zahtev iz te uredbe s strani priznanih organizacij za podatkovni altruizem pripeljalo do zaupanja v to, da se podatki, ki so bili dani na voljo za altruistične namene, uporabljajo za cilje v splošnem interesu. Tako zaupanje naj bi se vzpostavilo zlasti s sedežem organizacije ali njenim imenovanim zakonitim zastopnikom v EU, pa tudi z zahtevo, da so priznane organizacije za podatkovni altruizem nepridobitne organizacije, z zahtevami za preglednost delovanja ter s posebnimi zaščitnimi ukrepi, sprejetimi za zaščito pravic in interesov posameznikov, na katere se nanašajo osebni podatki, in podjetij.</w:t>
      </w:r>
    </w:p>
    <w:p w14:paraId="4A4EFD85" w14:textId="77777777" w:rsidR="00581496" w:rsidRPr="00581496" w:rsidRDefault="00581496" w:rsidP="00581496">
      <w:pPr>
        <w:spacing w:line="276" w:lineRule="auto"/>
        <w:jc w:val="both"/>
        <w:rPr>
          <w:rFonts w:cs="Arial"/>
          <w:szCs w:val="20"/>
          <w:lang w:val="sl-SI"/>
        </w:rPr>
      </w:pPr>
    </w:p>
    <w:p w14:paraId="5360B81F" w14:textId="77777777" w:rsidR="00581496" w:rsidRPr="00581496" w:rsidRDefault="00581496" w:rsidP="00581496">
      <w:pPr>
        <w:spacing w:line="276" w:lineRule="auto"/>
        <w:jc w:val="both"/>
        <w:rPr>
          <w:rFonts w:cs="Arial"/>
          <w:szCs w:val="20"/>
          <w:lang w:val="sl-SI"/>
        </w:rPr>
      </w:pPr>
      <w:r w:rsidRPr="00581496">
        <w:rPr>
          <w:rFonts w:cs="Arial"/>
          <w:szCs w:val="20"/>
          <w:lang w:val="sl-SI"/>
        </w:rPr>
        <w:t>Tako predlog 19. člena zakona predvideva prekrške v primeru spremembe pravnoorganizacijske oblike organizacije, pridobitnega opravljanja dejavnosti in pravne odvisnosti od pridobitnega subjekta ter v primeru izvajanja dejavnosti preko strukture, ki funkcionalno ni ločena od drugih dejavnosti.</w:t>
      </w:r>
    </w:p>
    <w:p w14:paraId="4084712D" w14:textId="77777777" w:rsidR="00581496" w:rsidRPr="00581496" w:rsidRDefault="00581496" w:rsidP="00581496">
      <w:pPr>
        <w:spacing w:line="276" w:lineRule="auto"/>
        <w:jc w:val="both"/>
        <w:rPr>
          <w:rFonts w:cs="Arial"/>
          <w:szCs w:val="20"/>
          <w:lang w:val="sl-SI"/>
        </w:rPr>
      </w:pPr>
    </w:p>
    <w:p w14:paraId="33F6A51D" w14:textId="77777777" w:rsidR="00581496" w:rsidRPr="00581496" w:rsidRDefault="00581496" w:rsidP="00581496">
      <w:pPr>
        <w:suppressAutoHyphens/>
        <w:overflowPunct w:val="0"/>
        <w:autoSpaceDE w:val="0"/>
        <w:autoSpaceDN w:val="0"/>
        <w:adjustRightInd w:val="0"/>
        <w:spacing w:line="276" w:lineRule="auto"/>
        <w:jc w:val="both"/>
        <w:textAlignment w:val="baseline"/>
        <w:rPr>
          <w:rFonts w:cs="Arial"/>
          <w:b/>
          <w:szCs w:val="20"/>
          <w:lang w:val="sl-SI"/>
        </w:rPr>
      </w:pPr>
      <w:r w:rsidRPr="00581496">
        <w:rPr>
          <w:rFonts w:cs="Arial"/>
          <w:b/>
          <w:szCs w:val="20"/>
          <w:lang w:val="sl-SI"/>
        </w:rPr>
        <w:t>K 20. členu (prekrški):</w:t>
      </w:r>
    </w:p>
    <w:p w14:paraId="1829143E" w14:textId="77777777" w:rsidR="00581496" w:rsidRPr="00581496" w:rsidRDefault="00581496" w:rsidP="00581496">
      <w:pPr>
        <w:spacing w:line="276" w:lineRule="auto"/>
        <w:jc w:val="both"/>
        <w:rPr>
          <w:rFonts w:cs="Arial"/>
          <w:szCs w:val="20"/>
          <w:lang w:val="sl-SI"/>
        </w:rPr>
      </w:pPr>
      <w:r w:rsidRPr="00581496">
        <w:rPr>
          <w:rFonts w:cs="Arial"/>
          <w:szCs w:val="20"/>
          <w:lang w:val="sl-SI"/>
        </w:rPr>
        <w:t>Predlog 20. člena zakona predvideva prekrške v primeru kršitev zahtev za preglednost delovanja pri izvajanju dejavnosti podatkovnega altruizma iz 20. člena Uredbe 2022/868/EU. To so kršitve obveznosti, ki se nanašajo na vodenje popolne in natančne evidence v zvezi z obdelavo podatkov, in obveznosti glede priprave in posredovanja letnega poročila o dejavnostih.</w:t>
      </w:r>
    </w:p>
    <w:p w14:paraId="7AFA45AB" w14:textId="77777777" w:rsidR="00581496" w:rsidRPr="00581496" w:rsidRDefault="00581496" w:rsidP="00581496">
      <w:pPr>
        <w:spacing w:line="276" w:lineRule="auto"/>
        <w:jc w:val="both"/>
        <w:rPr>
          <w:rFonts w:cs="Arial"/>
          <w:szCs w:val="20"/>
          <w:lang w:val="sl-SI"/>
        </w:rPr>
      </w:pPr>
    </w:p>
    <w:p w14:paraId="6E4FA555" w14:textId="77777777" w:rsidR="00581496" w:rsidRPr="00581496" w:rsidRDefault="00581496" w:rsidP="00581496">
      <w:pPr>
        <w:suppressAutoHyphens/>
        <w:overflowPunct w:val="0"/>
        <w:autoSpaceDE w:val="0"/>
        <w:autoSpaceDN w:val="0"/>
        <w:adjustRightInd w:val="0"/>
        <w:spacing w:line="276" w:lineRule="auto"/>
        <w:jc w:val="both"/>
        <w:textAlignment w:val="baseline"/>
        <w:rPr>
          <w:rFonts w:cs="Arial"/>
          <w:b/>
          <w:szCs w:val="20"/>
          <w:lang w:val="sl-SI"/>
        </w:rPr>
      </w:pPr>
      <w:r w:rsidRPr="00581496">
        <w:rPr>
          <w:rFonts w:cs="Arial"/>
          <w:b/>
          <w:szCs w:val="20"/>
          <w:lang w:val="sl-SI"/>
        </w:rPr>
        <w:t>K 21. členu (prekrški):</w:t>
      </w:r>
    </w:p>
    <w:p w14:paraId="0086A398" w14:textId="77777777" w:rsidR="00581496" w:rsidRPr="00581496" w:rsidRDefault="00581496" w:rsidP="00581496">
      <w:pPr>
        <w:spacing w:line="276" w:lineRule="auto"/>
        <w:jc w:val="both"/>
        <w:rPr>
          <w:rFonts w:cs="Arial"/>
          <w:szCs w:val="20"/>
          <w:lang w:val="sl-SI"/>
        </w:rPr>
      </w:pPr>
      <w:r w:rsidRPr="00581496">
        <w:rPr>
          <w:rFonts w:cs="Arial"/>
          <w:szCs w:val="20"/>
          <w:lang w:val="sl-SI"/>
        </w:rPr>
        <w:t>Predlog 21. člena predvideva prekrške v primeru kršitev obveznosti za zaščito pravic in interesov posameznikov, na katere se nanašajo osebni podatki, in imetnikov podatkov glede njihovih podatkov. Skladno z 21. členom Uredbe 2022/868/EU gre za kršitve glede obveščanja o ciljih v splošnem interesu in namenu, za katerega se bodo osebni podatki obdelovali, o lokaciji in ciljih v splošnem interesu, za katere dovoljuje vsako obdelavo, ki se izvaja v tretji državi; uporabe podatkov za cilje v splošnem interesu in pridobivanja podatkov brez zavajajočih tržnih praks; zagotavljanja orodja za pridobitev ali umik privolitev ali dovoljenj za obdelavo podatkov; sprejema ukrepov za zagotavljanje varnosti za shranjevanje in obdelavo neosebnih podatkov; obveščanja o nepooblaščenih prenosih neosebnih podatkov; in glede navajanja pristojnosti tretje države v primeru obdelave podatkov s strani tretjih oseb.</w:t>
      </w:r>
    </w:p>
    <w:p w14:paraId="483EBF7B" w14:textId="77777777" w:rsidR="00581496" w:rsidRPr="00581496" w:rsidRDefault="00581496" w:rsidP="00581496">
      <w:pPr>
        <w:spacing w:line="276" w:lineRule="auto"/>
        <w:jc w:val="both"/>
        <w:rPr>
          <w:rFonts w:cs="Arial"/>
          <w:szCs w:val="20"/>
          <w:lang w:val="sl-SI"/>
        </w:rPr>
      </w:pPr>
    </w:p>
    <w:p w14:paraId="2A44B38B" w14:textId="77777777" w:rsidR="00581496" w:rsidRPr="00581496" w:rsidRDefault="00581496" w:rsidP="00581496">
      <w:pPr>
        <w:suppressAutoHyphens/>
        <w:overflowPunct w:val="0"/>
        <w:autoSpaceDE w:val="0"/>
        <w:autoSpaceDN w:val="0"/>
        <w:adjustRightInd w:val="0"/>
        <w:spacing w:line="276" w:lineRule="auto"/>
        <w:jc w:val="both"/>
        <w:textAlignment w:val="baseline"/>
        <w:rPr>
          <w:rFonts w:cs="Arial"/>
          <w:b/>
          <w:szCs w:val="20"/>
          <w:lang w:val="sl-SI"/>
        </w:rPr>
      </w:pPr>
      <w:r w:rsidRPr="00581496">
        <w:rPr>
          <w:rFonts w:cs="Arial"/>
          <w:b/>
          <w:szCs w:val="20"/>
          <w:lang w:val="sl-SI"/>
        </w:rPr>
        <w:t>K 22. členu (prekrški):</w:t>
      </w:r>
    </w:p>
    <w:p w14:paraId="28A8A2FB" w14:textId="77777777" w:rsidR="00581496" w:rsidRPr="00581496" w:rsidRDefault="00581496" w:rsidP="00581496">
      <w:pPr>
        <w:spacing w:line="276" w:lineRule="auto"/>
        <w:jc w:val="both"/>
        <w:rPr>
          <w:rFonts w:cs="Arial"/>
          <w:szCs w:val="20"/>
          <w:lang w:val="sl-SI"/>
        </w:rPr>
      </w:pPr>
      <w:r w:rsidRPr="00581496">
        <w:rPr>
          <w:rFonts w:cs="Arial"/>
          <w:szCs w:val="20"/>
          <w:lang w:val="sl-SI"/>
        </w:rPr>
        <w:t>Predlog 22. člena predvideva prekrške v primeru kršitev obveznosti v zvezi s prenosi neosebnih podatkov v tretje države po 31. členu Uredbe 2022/868/EU. Prekršek se nanaša na obveznosti, ki zajemajo:</w:t>
      </w:r>
    </w:p>
    <w:p w14:paraId="68813599" w14:textId="77777777" w:rsidR="00581496" w:rsidRPr="00581496" w:rsidRDefault="00581496" w:rsidP="00581496">
      <w:pPr>
        <w:pStyle w:val="Odstavekseznama"/>
        <w:numPr>
          <w:ilvl w:val="0"/>
          <w:numId w:val="45"/>
        </w:numPr>
        <w:spacing w:line="276" w:lineRule="auto"/>
        <w:contextualSpacing/>
        <w:jc w:val="both"/>
        <w:rPr>
          <w:szCs w:val="20"/>
          <w:lang w:val="sl-SI"/>
        </w:rPr>
      </w:pPr>
      <w:r w:rsidRPr="00581496">
        <w:rPr>
          <w:szCs w:val="20"/>
          <w:lang w:val="sl-SI"/>
        </w:rPr>
        <w:t>tehnične, pravne ali organizacijske ukrepe za preprečitev mednarodnega prenosa neosebnih podatkov, hranjenih  v Evropski uniji, ali dostopa državnih organov drugih držav do teh podatkov (prvi odstavek 31. člena Uredbe 2022/868/EU);</w:t>
      </w:r>
    </w:p>
    <w:p w14:paraId="3FF2142F" w14:textId="77777777" w:rsidR="00581496" w:rsidRPr="00581496" w:rsidRDefault="00581496" w:rsidP="00581496">
      <w:pPr>
        <w:pStyle w:val="Odstavekseznama"/>
        <w:numPr>
          <w:ilvl w:val="0"/>
          <w:numId w:val="45"/>
        </w:numPr>
        <w:spacing w:line="276" w:lineRule="auto"/>
        <w:contextualSpacing/>
        <w:jc w:val="both"/>
        <w:rPr>
          <w:szCs w:val="20"/>
          <w:lang w:val="sl-SI"/>
        </w:rPr>
      </w:pPr>
      <w:r w:rsidRPr="00581496">
        <w:rPr>
          <w:szCs w:val="20"/>
          <w:lang w:val="sl-SI"/>
        </w:rPr>
        <w:t>ob prenosu podatkov v tretjo državo zagotavljanje najmanjše sprejemljive količine podatkov, ob upoštevanju drugega in tretjega odstavka 31. člena Uredbe 2022/868/EU (četrti odstavek 31. člena Uredbe 2022/868/EU);</w:t>
      </w:r>
    </w:p>
    <w:p w14:paraId="44FD349A" w14:textId="77777777" w:rsidR="00581496" w:rsidRPr="00581496" w:rsidRDefault="00581496" w:rsidP="00581496">
      <w:pPr>
        <w:pStyle w:val="Odstavekseznama"/>
        <w:numPr>
          <w:ilvl w:val="0"/>
          <w:numId w:val="45"/>
        </w:numPr>
        <w:spacing w:line="276" w:lineRule="auto"/>
        <w:contextualSpacing/>
        <w:jc w:val="both"/>
        <w:rPr>
          <w:szCs w:val="20"/>
          <w:lang w:val="sl-SI"/>
        </w:rPr>
      </w:pPr>
      <w:r w:rsidRPr="00581496">
        <w:rPr>
          <w:szCs w:val="20"/>
          <w:lang w:val="sl-SI"/>
        </w:rPr>
        <w:t>obveščanje imetnika podatkov o prošnji upravnega organa tretje države za dostop do njegovih podatkov pred ugoditvijo prošnji prenosa podatkov v tretjo državo, razen v primeru prošnje z namenom kazenskega pregona in dokler je to potrebno za ohranitev učinkovitosti kazenskega pregona (peti odstavek 31. člena Uredbe 2022/868/EU).</w:t>
      </w:r>
    </w:p>
    <w:p w14:paraId="40D7D681" w14:textId="77777777" w:rsidR="00581496" w:rsidRPr="00581496" w:rsidRDefault="00581496" w:rsidP="00581496">
      <w:pPr>
        <w:spacing w:line="276" w:lineRule="auto"/>
        <w:jc w:val="both"/>
        <w:rPr>
          <w:rFonts w:cs="Arial"/>
          <w:szCs w:val="20"/>
          <w:lang w:val="sl-SI"/>
        </w:rPr>
      </w:pPr>
    </w:p>
    <w:p w14:paraId="334CF58C" w14:textId="77777777" w:rsidR="00581496" w:rsidRPr="00581496" w:rsidRDefault="00581496" w:rsidP="00581496">
      <w:pPr>
        <w:suppressAutoHyphens/>
        <w:overflowPunct w:val="0"/>
        <w:autoSpaceDE w:val="0"/>
        <w:autoSpaceDN w:val="0"/>
        <w:adjustRightInd w:val="0"/>
        <w:spacing w:line="276" w:lineRule="auto"/>
        <w:jc w:val="both"/>
        <w:textAlignment w:val="baseline"/>
        <w:rPr>
          <w:rFonts w:cs="Arial"/>
          <w:b/>
          <w:szCs w:val="20"/>
          <w:lang w:val="sl-SI"/>
        </w:rPr>
      </w:pPr>
      <w:r w:rsidRPr="00581496">
        <w:rPr>
          <w:rFonts w:cs="Arial"/>
          <w:b/>
          <w:szCs w:val="20"/>
          <w:lang w:val="sl-SI"/>
        </w:rPr>
        <w:t xml:space="preserve">K 23. členu (prekrški): </w:t>
      </w:r>
    </w:p>
    <w:p w14:paraId="2A74B7CE" w14:textId="77777777" w:rsidR="00581496" w:rsidRPr="00581496" w:rsidRDefault="00581496" w:rsidP="00581496">
      <w:pPr>
        <w:spacing w:line="276" w:lineRule="auto"/>
        <w:jc w:val="both"/>
        <w:rPr>
          <w:rFonts w:cs="Arial"/>
          <w:szCs w:val="20"/>
          <w:lang w:val="sl-SI"/>
        </w:rPr>
      </w:pPr>
      <w:r w:rsidRPr="00581496">
        <w:rPr>
          <w:rFonts w:cs="Arial"/>
          <w:szCs w:val="20"/>
          <w:lang w:val="sl-SI"/>
        </w:rPr>
        <w:t>Predlog 23. člena zakona se nanaša na prekrške glede kršitev obveznosti, ki bodo določene z delegiranimi akti Evropske komisije, sprejetimi na podlagi Uredbe 2022/868/EU. Z delegiranimi akti bodo namreč vzpostavljene obveznosti glede zagotavljanja informacij o uporabi podatkov, orodjih za pridobitev in umik privolitve ali dovoljenja ter ukrepih, sprejetih za preprečevanje zlorabe podatkov (točka a) prvega odstavka 22. člena Uredbe 2022/868/EU); glede tehničnih in varnostnih zahtev, s katerimi se zagotovi ustrezno raven varnosti glede shranjevanja in obdelave podatkov ter glede orodij za pridobitev in umik privolitve ali dovoljenja (točka b) prvega odstavka 22. člena Uredbe 2022/868/EU); glede komunikacijskih načrtov, s katerimi deležnike ozavešča o podatkovnem altruizmu in o imenovanju za organizacijo za podatkovni altruizem, priznano v EU, in samih pravilih (točka c) prvega odstavka 22. člena Uredbe 2022/868/EU); in glede priporočil o zadevnih standardih interoperabilnosti (točka d) prvega odstavka 22. člena Uredbe 2022/868/EU).</w:t>
      </w:r>
    </w:p>
    <w:p w14:paraId="5ABC194D" w14:textId="77777777" w:rsidR="00581496" w:rsidRPr="00581496" w:rsidRDefault="00581496" w:rsidP="00581496">
      <w:pPr>
        <w:spacing w:line="276" w:lineRule="auto"/>
        <w:jc w:val="both"/>
        <w:rPr>
          <w:rFonts w:cs="Arial"/>
          <w:szCs w:val="20"/>
          <w:lang w:val="sl-SI"/>
        </w:rPr>
      </w:pPr>
    </w:p>
    <w:p w14:paraId="54013F31" w14:textId="77777777" w:rsidR="00581496" w:rsidRPr="00581496" w:rsidRDefault="00581496" w:rsidP="00581496">
      <w:pPr>
        <w:suppressAutoHyphens/>
        <w:overflowPunct w:val="0"/>
        <w:autoSpaceDE w:val="0"/>
        <w:autoSpaceDN w:val="0"/>
        <w:adjustRightInd w:val="0"/>
        <w:spacing w:line="276" w:lineRule="auto"/>
        <w:jc w:val="both"/>
        <w:textAlignment w:val="baseline"/>
        <w:rPr>
          <w:rFonts w:cs="Arial"/>
          <w:b/>
          <w:szCs w:val="20"/>
          <w:lang w:val="sl-SI"/>
        </w:rPr>
      </w:pPr>
      <w:r w:rsidRPr="00581496">
        <w:rPr>
          <w:rFonts w:cs="Arial"/>
          <w:b/>
          <w:szCs w:val="20"/>
          <w:lang w:val="sl-SI"/>
        </w:rPr>
        <w:t>K 24. členu (odmerjanje sankcij):</w:t>
      </w:r>
    </w:p>
    <w:p w14:paraId="4EE21EAE" w14:textId="77777777" w:rsidR="00581496" w:rsidRPr="00581496" w:rsidRDefault="00581496" w:rsidP="00581496">
      <w:pPr>
        <w:spacing w:line="276" w:lineRule="auto"/>
        <w:jc w:val="both"/>
        <w:rPr>
          <w:rFonts w:cs="Arial"/>
          <w:szCs w:val="20"/>
          <w:lang w:val="sl-SI"/>
        </w:rPr>
      </w:pPr>
      <w:r w:rsidRPr="00581496">
        <w:rPr>
          <w:rFonts w:cs="Arial"/>
          <w:szCs w:val="20"/>
          <w:lang w:val="sl-SI"/>
        </w:rPr>
        <w:t>V postopku nadzora inšpektor za informacijsko družbo pri odmeri sankcije za prekrške iz 17. do 23. člena tega zakona poleg splošnih pravil za odmero sankcije iz zakona, ki ureja prekrške, upošteva tudi merila iz drugega odstavka 34. člena Uredbe 2022/868/EU. Splošna pravila za odmero sankcije določa 26. člen Zakona o prekrških (Uradni list RS, št. 29/11 – uradno prečiščeno besedilo, 21/13, 111/13, 74/14 – odl. US, 92/14 – odl. US, 32/16, 15/17 – odl. US, 73/19 – odl. US, 175/20 – ZIUOPDVE in 5/21 – odl. US), drugi odstavek 34. člena Uredbe 2022/868/EU pa predvideva še širši nabor meril, ki naj se upoštevajo pri naložitvi globe.</w:t>
      </w:r>
    </w:p>
    <w:p w14:paraId="53BFD7EB" w14:textId="77777777" w:rsidR="00581496" w:rsidRPr="00581496" w:rsidRDefault="00581496" w:rsidP="00581496">
      <w:pPr>
        <w:spacing w:line="276" w:lineRule="auto"/>
        <w:jc w:val="both"/>
        <w:rPr>
          <w:rFonts w:cs="Arial"/>
          <w:szCs w:val="20"/>
          <w:lang w:val="sl-SI"/>
        </w:rPr>
      </w:pPr>
    </w:p>
    <w:p w14:paraId="01CB42FE" w14:textId="77777777" w:rsidR="00581496" w:rsidRPr="00581496" w:rsidRDefault="00581496" w:rsidP="00581496">
      <w:pPr>
        <w:suppressAutoHyphens/>
        <w:overflowPunct w:val="0"/>
        <w:autoSpaceDE w:val="0"/>
        <w:autoSpaceDN w:val="0"/>
        <w:adjustRightInd w:val="0"/>
        <w:spacing w:line="276" w:lineRule="auto"/>
        <w:jc w:val="both"/>
        <w:textAlignment w:val="baseline"/>
        <w:rPr>
          <w:rFonts w:cs="Arial"/>
          <w:b/>
          <w:szCs w:val="20"/>
          <w:lang w:val="sl-SI"/>
        </w:rPr>
      </w:pPr>
      <w:r w:rsidRPr="00581496">
        <w:rPr>
          <w:rFonts w:cs="Arial"/>
          <w:b/>
          <w:szCs w:val="20"/>
          <w:lang w:val="sl-SI"/>
        </w:rPr>
        <w:t>K 25. členu (višina globe v hitrem prekrškovnem postopku):</w:t>
      </w:r>
    </w:p>
    <w:p w14:paraId="6DD5BDF9" w14:textId="77777777" w:rsidR="00581496" w:rsidRPr="00581496" w:rsidRDefault="00581496" w:rsidP="00581496">
      <w:pPr>
        <w:spacing w:line="276" w:lineRule="auto"/>
        <w:jc w:val="both"/>
        <w:rPr>
          <w:rFonts w:cs="Arial"/>
          <w:szCs w:val="20"/>
          <w:lang w:val="sl-SI"/>
        </w:rPr>
      </w:pPr>
      <w:r w:rsidRPr="00581496">
        <w:rPr>
          <w:rFonts w:cs="Arial"/>
          <w:szCs w:val="20"/>
          <w:lang w:val="sl-SI"/>
        </w:rPr>
        <w:t xml:space="preserve">Ker predlog zakona določa globe v razponih, se s predlogom tega člena v skladu s tretjim odstavkom 52. člena Zakona o prekrških (Uradni list RS, št. 29/11 – uradno prečiščeno besedilo, 21/13, 111/13, 74/14 – odl. US, 92/14 – odl. US, 32/16, 15/17 – odl. US, 73/19 – odl. US, 175/20 – ZIUOPDVE in 5/21 – odl. US; v nadaljnjem besedilu: ZP-1) prekrškovnemu organu omogoča, da bo v hitrem prekrškovnem postopku (ob uporabi splošnih pravil za odmero sankcije – 26. člen ZP-1) lahko izrekel globo, ki je višja od najnižje predpisane. </w:t>
      </w:r>
    </w:p>
    <w:p w14:paraId="3BE5E009" w14:textId="77777777" w:rsidR="00581496" w:rsidRPr="00581496" w:rsidRDefault="00581496" w:rsidP="00581496">
      <w:pPr>
        <w:spacing w:line="276" w:lineRule="auto"/>
        <w:jc w:val="both"/>
        <w:rPr>
          <w:rFonts w:cs="Arial"/>
          <w:szCs w:val="20"/>
          <w:lang w:val="sl-SI"/>
        </w:rPr>
      </w:pPr>
    </w:p>
    <w:p w14:paraId="7CD09D4C" w14:textId="77777777" w:rsidR="00581496" w:rsidRPr="00581496" w:rsidRDefault="00581496" w:rsidP="00581496">
      <w:pPr>
        <w:suppressAutoHyphens/>
        <w:overflowPunct w:val="0"/>
        <w:autoSpaceDE w:val="0"/>
        <w:autoSpaceDN w:val="0"/>
        <w:adjustRightInd w:val="0"/>
        <w:spacing w:line="276" w:lineRule="auto"/>
        <w:jc w:val="both"/>
        <w:textAlignment w:val="baseline"/>
        <w:rPr>
          <w:rFonts w:cs="Arial"/>
          <w:b/>
          <w:szCs w:val="20"/>
          <w:lang w:val="sl-SI"/>
        </w:rPr>
      </w:pPr>
      <w:r w:rsidRPr="00581496">
        <w:rPr>
          <w:rFonts w:cs="Arial"/>
          <w:b/>
          <w:szCs w:val="20"/>
          <w:lang w:val="sl-SI"/>
        </w:rPr>
        <w:t>K 26. členu (izdaja podzakonskih aktov):</w:t>
      </w:r>
    </w:p>
    <w:p w14:paraId="6A2F5941" w14:textId="77777777" w:rsidR="00581496" w:rsidRPr="00581496" w:rsidRDefault="00581496" w:rsidP="00581496">
      <w:pPr>
        <w:jc w:val="both"/>
        <w:rPr>
          <w:lang w:val="sl-SI"/>
        </w:rPr>
      </w:pPr>
      <w:r w:rsidRPr="00581496">
        <w:rPr>
          <w:rFonts w:cs="Arial"/>
          <w:szCs w:val="20"/>
          <w:lang w:val="sl-SI"/>
        </w:rPr>
        <w:t xml:space="preserve">Vlada v treh mesecih po uveljavitvi zakona izda podzakonski akt, s katerim določi podrobnejša merila in metodologijo za izračun pristojbin za ponovno uporabo zaščitenih podatkov javnega sektorja ter uskladi Uredbo o posredovanju in ponovni uporabi informacij javnega značaja (Uradni list RS, št. 24/16 in 146/22). </w:t>
      </w:r>
      <w:r w:rsidRPr="00581496">
        <w:rPr>
          <w:lang w:val="sl-SI"/>
        </w:rPr>
        <w:t>Minister v 3 mesecih od uveljavitve tega zakona določi pogoje in načine dodeljevanja državnih pomoči v primeru znižanega plačila ali oprostitve plačila pristojbin v skladu s četrtim odstavkom 6. člena Uredbe 2022/868/EU.</w:t>
      </w:r>
    </w:p>
    <w:p w14:paraId="357FFB24" w14:textId="77777777" w:rsidR="00581496" w:rsidRPr="00581496" w:rsidRDefault="00581496" w:rsidP="00581496">
      <w:pPr>
        <w:suppressAutoHyphens/>
        <w:overflowPunct w:val="0"/>
        <w:autoSpaceDE w:val="0"/>
        <w:autoSpaceDN w:val="0"/>
        <w:adjustRightInd w:val="0"/>
        <w:spacing w:line="276" w:lineRule="auto"/>
        <w:jc w:val="both"/>
        <w:textAlignment w:val="baseline"/>
        <w:rPr>
          <w:rFonts w:cs="Arial"/>
          <w:b/>
          <w:szCs w:val="20"/>
          <w:lang w:val="sl-SI"/>
        </w:rPr>
      </w:pPr>
    </w:p>
    <w:p w14:paraId="09D25678" w14:textId="77777777" w:rsidR="00581496" w:rsidRPr="00581496" w:rsidRDefault="00581496" w:rsidP="00581496">
      <w:pPr>
        <w:suppressAutoHyphens/>
        <w:overflowPunct w:val="0"/>
        <w:autoSpaceDE w:val="0"/>
        <w:autoSpaceDN w:val="0"/>
        <w:adjustRightInd w:val="0"/>
        <w:spacing w:line="276" w:lineRule="auto"/>
        <w:jc w:val="both"/>
        <w:textAlignment w:val="baseline"/>
        <w:rPr>
          <w:rFonts w:cs="Arial"/>
          <w:b/>
          <w:szCs w:val="20"/>
          <w:lang w:val="sl-SI"/>
        </w:rPr>
      </w:pPr>
      <w:r w:rsidRPr="00581496">
        <w:rPr>
          <w:rFonts w:cs="Arial"/>
          <w:b/>
          <w:szCs w:val="20"/>
          <w:lang w:val="sl-SI"/>
        </w:rPr>
        <w:t>K 27. členu (delegirani akti):</w:t>
      </w:r>
    </w:p>
    <w:p w14:paraId="654BEA85" w14:textId="77777777" w:rsidR="00581496" w:rsidRPr="00581496" w:rsidRDefault="00581496" w:rsidP="00581496">
      <w:pPr>
        <w:spacing w:line="276" w:lineRule="auto"/>
        <w:jc w:val="both"/>
        <w:rPr>
          <w:rFonts w:cs="Arial"/>
          <w:szCs w:val="20"/>
          <w:lang w:val="sl-SI"/>
        </w:rPr>
      </w:pPr>
      <w:r w:rsidRPr="00581496">
        <w:rPr>
          <w:rFonts w:cs="Arial"/>
          <w:szCs w:val="20"/>
          <w:lang w:val="sl-SI"/>
        </w:rPr>
        <w:t xml:space="preserve">Predlog člena določa čas začetka uporabe določb za prekrške, ki izhajajo iz delegiranih aktov Evropske komisije, in obveznost ministra, da objavi začetek veljavnosti delegiranih aktov Evropske komisije v Uradnem listu Republike Slovenije. </w:t>
      </w:r>
    </w:p>
    <w:p w14:paraId="2C70E19C" w14:textId="77777777" w:rsidR="00581496" w:rsidRPr="00581496" w:rsidRDefault="00581496" w:rsidP="00581496">
      <w:pPr>
        <w:suppressAutoHyphens/>
        <w:overflowPunct w:val="0"/>
        <w:autoSpaceDE w:val="0"/>
        <w:autoSpaceDN w:val="0"/>
        <w:adjustRightInd w:val="0"/>
        <w:spacing w:line="276" w:lineRule="auto"/>
        <w:jc w:val="both"/>
        <w:textAlignment w:val="baseline"/>
        <w:rPr>
          <w:rFonts w:cs="Arial"/>
          <w:b/>
          <w:szCs w:val="20"/>
          <w:lang w:val="sl-SI"/>
        </w:rPr>
      </w:pPr>
    </w:p>
    <w:p w14:paraId="018BE9BA" w14:textId="77777777" w:rsidR="00581496" w:rsidRPr="00581496" w:rsidRDefault="00581496" w:rsidP="00581496">
      <w:pPr>
        <w:suppressAutoHyphens/>
        <w:overflowPunct w:val="0"/>
        <w:autoSpaceDE w:val="0"/>
        <w:autoSpaceDN w:val="0"/>
        <w:adjustRightInd w:val="0"/>
        <w:spacing w:line="276" w:lineRule="auto"/>
        <w:jc w:val="both"/>
        <w:textAlignment w:val="baseline"/>
        <w:rPr>
          <w:rFonts w:cs="Arial"/>
          <w:b/>
          <w:szCs w:val="20"/>
          <w:lang w:val="sl-SI"/>
        </w:rPr>
      </w:pPr>
      <w:r w:rsidRPr="00581496">
        <w:rPr>
          <w:rFonts w:cs="Arial"/>
          <w:b/>
          <w:szCs w:val="20"/>
          <w:lang w:val="sl-SI"/>
        </w:rPr>
        <w:t>K 28. členu (začetek veljavnosti):</w:t>
      </w:r>
    </w:p>
    <w:p w14:paraId="517520DE" w14:textId="01F3522F" w:rsidR="00581496" w:rsidRPr="00581496" w:rsidRDefault="00581496" w:rsidP="00581496">
      <w:pPr>
        <w:overflowPunct w:val="0"/>
        <w:autoSpaceDE w:val="0"/>
        <w:autoSpaceDN w:val="0"/>
        <w:adjustRightInd w:val="0"/>
        <w:spacing w:line="276" w:lineRule="auto"/>
        <w:jc w:val="both"/>
        <w:textAlignment w:val="baseline"/>
        <w:rPr>
          <w:rFonts w:cs="Arial"/>
          <w:b/>
          <w:szCs w:val="20"/>
          <w:lang w:val="sl-SI"/>
        </w:rPr>
      </w:pPr>
      <w:r w:rsidRPr="00581496">
        <w:rPr>
          <w:rFonts w:cs="Arial"/>
          <w:szCs w:val="20"/>
          <w:lang w:val="sl-SI"/>
        </w:rPr>
        <w:t xml:space="preserve">Predlog člena določa </w:t>
      </w:r>
      <w:r w:rsidRPr="00581496">
        <w:rPr>
          <w:rFonts w:cs="Arial"/>
          <w:i/>
          <w:iCs/>
          <w:szCs w:val="20"/>
          <w:lang w:val="sl-SI"/>
        </w:rPr>
        <w:t>vacatio le</w:t>
      </w:r>
      <w:r w:rsidRPr="00581496">
        <w:rPr>
          <w:rFonts w:cs="Arial"/>
          <w:szCs w:val="20"/>
          <w:lang w:val="sl-SI"/>
        </w:rPr>
        <w:t xml:space="preserve">gis 15 dni po objavi v Uradnem listu Republike Slovenije. </w:t>
      </w:r>
    </w:p>
    <w:p w14:paraId="2A7BC9DB" w14:textId="6C569A94" w:rsidR="00214594" w:rsidRPr="00B53505" w:rsidRDefault="00214594" w:rsidP="00694DC1">
      <w:pPr>
        <w:spacing w:line="240" w:lineRule="atLeast"/>
        <w:rPr>
          <w:rFonts w:cs="Arial"/>
          <w:b/>
          <w:szCs w:val="20"/>
          <w:lang w:val="sl-SI"/>
        </w:rPr>
      </w:pPr>
      <w:r w:rsidRPr="00B53505">
        <w:rPr>
          <w:rFonts w:cs="Arial"/>
          <w:b/>
          <w:szCs w:val="20"/>
          <w:lang w:val="sl-SI"/>
        </w:rPr>
        <w:br w:type="page"/>
      </w:r>
    </w:p>
    <w:p w14:paraId="5BADA228" w14:textId="0BEA599B" w:rsidR="00214594" w:rsidRDefault="00214594" w:rsidP="00694DC1">
      <w:pPr>
        <w:spacing w:line="240" w:lineRule="atLeast"/>
        <w:jc w:val="both"/>
        <w:rPr>
          <w:rFonts w:cs="Arial"/>
          <w:b/>
          <w:szCs w:val="20"/>
          <w:lang w:val="sl-SI"/>
        </w:rPr>
      </w:pPr>
      <w:r>
        <w:rPr>
          <w:rFonts w:cs="Arial"/>
          <w:b/>
          <w:szCs w:val="20"/>
          <w:lang w:val="sl-SI"/>
        </w:rPr>
        <w:t>IV. BESEDILO ČLENOV, KI SE SPREMINJAJO</w:t>
      </w:r>
    </w:p>
    <w:p w14:paraId="387C4841" w14:textId="44FE4681" w:rsidR="00214594" w:rsidRDefault="00214594" w:rsidP="00694DC1">
      <w:pPr>
        <w:spacing w:line="240" w:lineRule="atLeast"/>
        <w:jc w:val="both"/>
        <w:rPr>
          <w:rFonts w:cs="Arial"/>
          <w:b/>
          <w:szCs w:val="20"/>
          <w:lang w:val="sl-SI"/>
        </w:rPr>
      </w:pPr>
    </w:p>
    <w:p w14:paraId="16D0D2F1" w14:textId="3C280E3A" w:rsidR="00214594" w:rsidRDefault="005A2A23" w:rsidP="00694DC1">
      <w:pPr>
        <w:spacing w:line="240" w:lineRule="atLeast"/>
        <w:jc w:val="both"/>
        <w:rPr>
          <w:rFonts w:cs="Arial"/>
          <w:b/>
          <w:szCs w:val="20"/>
          <w:lang w:val="sl-SI"/>
        </w:rPr>
      </w:pPr>
      <w:r>
        <w:rPr>
          <w:rFonts w:cs="Arial"/>
          <w:b/>
          <w:szCs w:val="20"/>
          <w:lang w:val="sl-SI"/>
        </w:rPr>
        <w:t>/</w:t>
      </w:r>
    </w:p>
    <w:p w14:paraId="60D843E3" w14:textId="77777777" w:rsidR="005A2A23" w:rsidRDefault="005A2A23" w:rsidP="00694DC1">
      <w:pPr>
        <w:spacing w:line="240" w:lineRule="atLeast"/>
        <w:jc w:val="both"/>
        <w:rPr>
          <w:rFonts w:cs="Arial"/>
          <w:b/>
          <w:szCs w:val="20"/>
          <w:lang w:val="sl-SI"/>
        </w:rPr>
      </w:pPr>
    </w:p>
    <w:p w14:paraId="51A317BD" w14:textId="2E9852A6" w:rsidR="00214594" w:rsidRDefault="00214594" w:rsidP="00694DC1">
      <w:pPr>
        <w:spacing w:line="240" w:lineRule="atLeast"/>
        <w:jc w:val="both"/>
        <w:rPr>
          <w:rFonts w:cs="Arial"/>
          <w:b/>
          <w:szCs w:val="20"/>
          <w:lang w:val="sl-SI"/>
        </w:rPr>
      </w:pPr>
      <w:r>
        <w:rPr>
          <w:rFonts w:cs="Arial"/>
          <w:b/>
          <w:szCs w:val="20"/>
          <w:lang w:val="sl-SI"/>
        </w:rPr>
        <w:t>V. PREDLOG, DA SE PREDLOG ZAKONA OBRAVNAVA PO NUJNEM OZIROMA SKRAJŠANEM POSTOPKU</w:t>
      </w:r>
    </w:p>
    <w:p w14:paraId="24A778AF" w14:textId="74E6ED12" w:rsidR="00880179" w:rsidRDefault="00880179" w:rsidP="00694DC1">
      <w:pPr>
        <w:spacing w:line="240" w:lineRule="atLeast"/>
        <w:jc w:val="both"/>
        <w:rPr>
          <w:rFonts w:cs="Arial"/>
          <w:b/>
          <w:szCs w:val="20"/>
          <w:lang w:val="sl-SI"/>
        </w:rPr>
      </w:pPr>
    </w:p>
    <w:p w14:paraId="5A21CE23" w14:textId="25478A1B" w:rsidR="00880179" w:rsidRDefault="005A2A23" w:rsidP="00694DC1">
      <w:pPr>
        <w:spacing w:line="240" w:lineRule="atLeast"/>
        <w:jc w:val="both"/>
        <w:rPr>
          <w:rFonts w:cs="Arial"/>
          <w:bCs/>
          <w:szCs w:val="20"/>
          <w:lang w:val="sl-SI"/>
        </w:rPr>
      </w:pPr>
      <w:r>
        <w:rPr>
          <w:rFonts w:cs="Arial"/>
          <w:bCs/>
          <w:szCs w:val="20"/>
          <w:lang w:val="sl-SI"/>
        </w:rPr>
        <w:t>/</w:t>
      </w:r>
    </w:p>
    <w:p w14:paraId="45F9A8A2" w14:textId="74AD4212" w:rsidR="00214594" w:rsidRDefault="00214594" w:rsidP="00694DC1">
      <w:pPr>
        <w:spacing w:line="240" w:lineRule="atLeast"/>
        <w:jc w:val="both"/>
        <w:rPr>
          <w:rFonts w:cs="Arial"/>
          <w:b/>
          <w:szCs w:val="20"/>
          <w:lang w:val="sl-SI"/>
        </w:rPr>
      </w:pPr>
    </w:p>
    <w:p w14:paraId="35CC9C42" w14:textId="41BE20D7" w:rsidR="00214594" w:rsidRDefault="00214594" w:rsidP="00694DC1">
      <w:pPr>
        <w:spacing w:line="240" w:lineRule="atLeast"/>
        <w:jc w:val="both"/>
        <w:rPr>
          <w:rFonts w:cs="Arial"/>
          <w:b/>
          <w:szCs w:val="20"/>
          <w:lang w:val="sl-SI"/>
        </w:rPr>
      </w:pPr>
      <w:r>
        <w:rPr>
          <w:rFonts w:cs="Arial"/>
          <w:b/>
          <w:szCs w:val="20"/>
          <w:lang w:val="sl-SI"/>
        </w:rPr>
        <w:t>VI. PRILOGE</w:t>
      </w:r>
    </w:p>
    <w:p w14:paraId="35FEBE9C" w14:textId="5C5C3522" w:rsidR="00880179" w:rsidRDefault="00880179" w:rsidP="00694DC1">
      <w:pPr>
        <w:spacing w:line="240" w:lineRule="atLeast"/>
        <w:jc w:val="both"/>
        <w:rPr>
          <w:rFonts w:cs="Arial"/>
          <w:b/>
          <w:szCs w:val="20"/>
          <w:lang w:val="sl-SI"/>
        </w:rPr>
      </w:pPr>
    </w:p>
    <w:p w14:paraId="48A3C0B2" w14:textId="3037C1BC" w:rsidR="005A2A23" w:rsidRPr="00B4771A" w:rsidRDefault="00B4771A" w:rsidP="00B4771A">
      <w:pPr>
        <w:spacing w:line="240" w:lineRule="atLeast"/>
        <w:jc w:val="both"/>
        <w:rPr>
          <w:bCs/>
          <w:szCs w:val="20"/>
          <w:lang w:val="sl-SI"/>
        </w:rPr>
      </w:pPr>
      <w:r>
        <w:rPr>
          <w:bCs/>
          <w:szCs w:val="20"/>
          <w:lang w:val="sl-SI"/>
        </w:rPr>
        <w:t>/</w:t>
      </w:r>
    </w:p>
    <w:sectPr w:rsidR="005A2A23" w:rsidRPr="00B4771A" w:rsidSect="00CD3C52">
      <w:headerReference w:type="even" r:id="rId16"/>
      <w:headerReference w:type="default" r:id="rId17"/>
      <w:footerReference w:type="even" r:id="rId18"/>
      <w:footerReference w:type="default" r:id="rId19"/>
      <w:headerReference w:type="first" r:id="rId20"/>
      <w:footerReference w:type="first" r:id="rId21"/>
      <w:pgSz w:w="11900" w:h="16840" w:code="9"/>
      <w:pgMar w:top="1701" w:right="1701" w:bottom="993"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748A0" w14:textId="77777777" w:rsidR="00161D07" w:rsidRDefault="00161D07">
      <w:r>
        <w:separator/>
      </w:r>
    </w:p>
  </w:endnote>
  <w:endnote w:type="continuationSeparator" w:id="0">
    <w:p w14:paraId="04337BCD" w14:textId="77777777" w:rsidR="00161D07" w:rsidRDefault="00161D07">
      <w:r>
        <w:continuationSeparator/>
      </w:r>
    </w:p>
  </w:endnote>
  <w:endnote w:type="continuationNotice" w:id="1">
    <w:p w14:paraId="7DEB9B44" w14:textId="77777777" w:rsidR="00161D07" w:rsidRDefault="00161D0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EUAlbertina">
    <w:altName w:val="Arial"/>
    <w:panose1 w:val="00000000000000000000"/>
    <w:charset w:val="00"/>
    <w:family w:val="roman"/>
    <w:notTrueType/>
    <w:pitch w:val="default"/>
    <w:sig w:usb0="00000005"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Republika">
    <w:altName w:val="Cambria"/>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4C066" w14:textId="77777777" w:rsidR="00161D07" w:rsidRDefault="00161D0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E0D1A" w14:textId="77777777" w:rsidR="00161D07" w:rsidRDefault="00161D07">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E9650" w14:textId="77777777" w:rsidR="00161D07" w:rsidRDefault="00161D0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72AD1" w14:textId="77777777" w:rsidR="00161D07" w:rsidRDefault="00161D07">
      <w:r>
        <w:separator/>
      </w:r>
    </w:p>
  </w:footnote>
  <w:footnote w:type="continuationSeparator" w:id="0">
    <w:p w14:paraId="06372A53" w14:textId="77777777" w:rsidR="00161D07" w:rsidRDefault="00161D07">
      <w:r>
        <w:continuationSeparator/>
      </w:r>
    </w:p>
  </w:footnote>
  <w:footnote w:type="continuationNotice" w:id="1">
    <w:p w14:paraId="1E82F1E8" w14:textId="77777777" w:rsidR="00161D07" w:rsidRDefault="00161D07">
      <w:pPr>
        <w:spacing w:line="240" w:lineRule="auto"/>
      </w:pPr>
    </w:p>
  </w:footnote>
  <w:footnote w:id="2">
    <w:p w14:paraId="3AE4FCDF" w14:textId="397DC05E" w:rsidR="00900FE4" w:rsidRPr="00900FE4" w:rsidRDefault="00900FE4" w:rsidP="00900FE4">
      <w:pPr>
        <w:pStyle w:val="Sprotnaopomba-besedilo"/>
        <w:jc w:val="both"/>
        <w:rPr>
          <w:rFonts w:ascii="Arial" w:hAnsi="Arial" w:cs="Arial"/>
          <w:sz w:val="18"/>
          <w:szCs w:val="18"/>
        </w:rPr>
      </w:pPr>
      <w:r w:rsidRPr="00900FE4">
        <w:rPr>
          <w:rStyle w:val="Sprotnaopomba-sklic"/>
          <w:rFonts w:ascii="Arial" w:hAnsi="Arial" w:cs="Arial"/>
          <w:sz w:val="18"/>
          <w:szCs w:val="18"/>
        </w:rPr>
        <w:footnoteRef/>
      </w:r>
      <w:r w:rsidRPr="00900FE4">
        <w:rPr>
          <w:rFonts w:ascii="Arial" w:hAnsi="Arial" w:cs="Arial"/>
          <w:sz w:val="18"/>
          <w:szCs w:val="18"/>
        </w:rPr>
        <w:t xml:space="preserve"> Sporočilo Komisije Evropskemu parlamentu, Svetu, Evropskemu ekonomsko-socialnemu odboru in Odboru regij (Evropska strategija za podatke), COM/2020/66 final, z dne 19. 2.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D6BA6" w14:textId="77777777" w:rsidR="00161D07" w:rsidRDefault="00161D07">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03E5A" w14:textId="77777777" w:rsidR="00161D07" w:rsidRPr="00110CBD" w:rsidRDefault="00161D07"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858EE" w14:textId="622B700A" w:rsidR="00161D07" w:rsidRPr="001360AB" w:rsidRDefault="00161D07" w:rsidP="00946C49">
    <w:pPr>
      <w:autoSpaceDE w:val="0"/>
      <w:autoSpaceDN w:val="0"/>
      <w:adjustRightInd w:val="0"/>
      <w:spacing w:line="240" w:lineRule="auto"/>
      <w:rPr>
        <w:rFonts w:ascii="Republika" w:hAnsi="Republika"/>
        <w:szCs w:val="20"/>
        <w:lang w:val="sl-SI"/>
      </w:rPr>
    </w:pPr>
    <w:r w:rsidRPr="002B674E">
      <w:rPr>
        <w:rFonts w:ascii="Republika" w:hAnsi="Republika"/>
        <w:noProof/>
        <w:sz w:val="60"/>
        <w:szCs w:val="60"/>
        <w:lang w:val="sl-SI" w:eastAsia="sl-SI"/>
      </w:rPr>
      <w:drawing>
        <wp:anchor distT="0" distB="0" distL="114300" distR="114300" simplePos="0" relativeHeight="251659264" behindDoc="0" locked="0" layoutInCell="1" allowOverlap="1" wp14:anchorId="2AE52F61" wp14:editId="0CF9A1BF">
          <wp:simplePos x="0" y="0"/>
          <wp:positionH relativeFrom="column">
            <wp:posOffset>-433070</wp:posOffset>
          </wp:positionH>
          <wp:positionV relativeFrom="paragraph">
            <wp:posOffset>6350</wp:posOffset>
          </wp:positionV>
          <wp:extent cx="300355" cy="347980"/>
          <wp:effectExtent l="0" t="0" r="4445" b="0"/>
          <wp:wrapSquare wrapText="bothSides"/>
          <wp:docPr id="11" name="Slika 11" descr="Opis: Opis: 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Opis: Opis: 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347980"/>
                  </a:xfrm>
                  <a:prstGeom prst="rect">
                    <a:avLst/>
                  </a:prstGeom>
                  <a:noFill/>
                  <a:ln>
                    <a:noFill/>
                  </a:ln>
                </pic:spPr>
              </pic:pic>
            </a:graphicData>
          </a:graphic>
        </wp:anchor>
      </w:drawing>
    </w:r>
    <w:r w:rsidRPr="001360AB">
      <w:rPr>
        <w:rFonts w:ascii="Republika" w:hAnsi="Republika"/>
        <w:noProof/>
        <w:szCs w:val="20"/>
        <w:lang w:val="sl-SI" w:eastAsia="sl-SI"/>
      </w:rPr>
      <mc:AlternateContent>
        <mc:Choice Requires="wps">
          <w:drawing>
            <wp:anchor distT="4294967293" distB="4294967293" distL="114300" distR="114300" simplePos="0" relativeHeight="251658240" behindDoc="1" locked="0" layoutInCell="0" allowOverlap="1" wp14:anchorId="354CF150" wp14:editId="7879A743">
              <wp:simplePos x="0" y="0"/>
              <wp:positionH relativeFrom="column">
                <wp:posOffset>-431800</wp:posOffset>
              </wp:positionH>
              <wp:positionV relativeFrom="page">
                <wp:posOffset>3600449</wp:posOffset>
              </wp:positionV>
              <wp:extent cx="252095"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36FF9" id="Line 11"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1360AB">
      <w:rPr>
        <w:rFonts w:ascii="Republika" w:hAnsi="Republika"/>
        <w:szCs w:val="20"/>
        <w:lang w:val="sl-SI"/>
      </w:rPr>
      <w:t>REPUBLIKA SLOVENIJA</w:t>
    </w:r>
  </w:p>
  <w:p w14:paraId="170D8AE1" w14:textId="7BE2DB60" w:rsidR="00161D07" w:rsidRPr="001360AB" w:rsidRDefault="00161D07" w:rsidP="00CC1CE6">
    <w:pPr>
      <w:pStyle w:val="Glava"/>
      <w:tabs>
        <w:tab w:val="clear" w:pos="4320"/>
        <w:tab w:val="clear" w:pos="8640"/>
        <w:tab w:val="left" w:pos="5112"/>
      </w:tabs>
      <w:spacing w:line="240" w:lineRule="exact"/>
      <w:rPr>
        <w:rFonts w:ascii="Republika" w:hAnsi="Republika"/>
        <w:b/>
        <w:caps/>
        <w:szCs w:val="20"/>
        <w:lang w:val="sl-SI"/>
      </w:rPr>
    </w:pPr>
    <w:r>
      <w:rPr>
        <w:rFonts w:ascii="Republika" w:hAnsi="Republika"/>
        <w:b/>
        <w:caps/>
        <w:szCs w:val="20"/>
        <w:lang w:val="sl-SI"/>
      </w:rPr>
      <w:t>MINISTRSTVO  za DIGITALNO PREOBRAZBO</w:t>
    </w:r>
  </w:p>
  <w:p w14:paraId="7D95A710" w14:textId="13685852" w:rsidR="00161D07" w:rsidRPr="00373E3D" w:rsidRDefault="00161D07" w:rsidP="00700CC3">
    <w:pPr>
      <w:pStyle w:val="Glava"/>
      <w:tabs>
        <w:tab w:val="clear" w:pos="4320"/>
        <w:tab w:val="clear" w:pos="8640"/>
        <w:tab w:val="left" w:pos="5112"/>
      </w:tabs>
      <w:spacing w:line="240" w:lineRule="exact"/>
      <w:rPr>
        <w:rFonts w:ascii="Republika" w:hAnsi="Republika"/>
        <w:b/>
        <w:caps/>
        <w:lang w:val="sl-SI"/>
      </w:rPr>
    </w:pPr>
    <w:r>
      <w:rPr>
        <w:rFonts w:cs="Arial"/>
        <w:sz w:val="16"/>
        <w:lang w:val="sl-SI"/>
      </w:rPr>
      <w:t>Davčna ulica 1</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01 555 58 00</w:t>
    </w:r>
  </w:p>
  <w:p w14:paraId="7136FC08" w14:textId="704D7CF3" w:rsidR="00161D07" w:rsidRPr="008F3500" w:rsidRDefault="00161D07" w:rsidP="00872C07">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gp.mdp@gov.si</w:t>
    </w:r>
  </w:p>
  <w:p w14:paraId="656FBC69" w14:textId="3667FE6A" w:rsidR="00161D07" w:rsidRDefault="00161D07" w:rsidP="00872C07">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www.mdp.gov.si</w:t>
    </w:r>
  </w:p>
  <w:p w14:paraId="0A9BEB94" w14:textId="77777777" w:rsidR="00161D07" w:rsidRPr="008F3500" w:rsidRDefault="00161D07" w:rsidP="00872C07">
    <w:pPr>
      <w:pStyle w:val="Glava"/>
      <w:tabs>
        <w:tab w:val="clear" w:pos="4320"/>
        <w:tab w:val="clear" w:pos="8640"/>
        <w:tab w:val="left" w:pos="5112"/>
      </w:tabs>
      <w:spacing w:line="240" w:lineRule="exact"/>
      <w:rPr>
        <w:rFonts w:cs="Arial"/>
        <w:sz w:val="16"/>
        <w:lang w:val="sl-SI"/>
      </w:rPr>
    </w:pPr>
  </w:p>
  <w:p w14:paraId="1AA941AB" w14:textId="77777777" w:rsidR="00161D07" w:rsidRPr="008F3500" w:rsidRDefault="00161D07" w:rsidP="00EC0549">
    <w:pPr>
      <w:pStyle w:val="Glava"/>
      <w:tabs>
        <w:tab w:val="clear" w:pos="4320"/>
        <w:tab w:val="clear" w:pos="8640"/>
        <w:tab w:val="left" w:pos="5112"/>
      </w:tabs>
      <w:spacing w:line="240" w:lineRule="exact"/>
      <w:rPr>
        <w:rFonts w:cs="Arial"/>
        <w:sz w:val="16"/>
        <w:lang w:val="sl-SI"/>
      </w:rPr>
    </w:pPr>
  </w:p>
  <w:p w14:paraId="6A48F9BC" w14:textId="77777777" w:rsidR="00161D07" w:rsidRPr="008F3500" w:rsidRDefault="00161D07" w:rsidP="00B76818">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p>
  <w:p w14:paraId="0CA19F7B" w14:textId="77777777" w:rsidR="00161D07" w:rsidRPr="008F3500" w:rsidRDefault="00161D07" w:rsidP="005E7866">
    <w:pPr>
      <w:pStyle w:val="Glava"/>
      <w:tabs>
        <w:tab w:val="clear" w:pos="4320"/>
        <w:tab w:val="clear" w:pos="8640"/>
        <w:tab w:val="left" w:pos="5112"/>
      </w:tabs>
      <w:spacing w:after="120" w:line="240" w:lineRule="exact"/>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75D"/>
    <w:multiLevelType w:val="hybridMultilevel"/>
    <w:tmpl w:val="09101A06"/>
    <w:lvl w:ilvl="0" w:tplc="9BC428F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3352E06"/>
    <w:multiLevelType w:val="hybridMultilevel"/>
    <w:tmpl w:val="C256E754"/>
    <w:lvl w:ilvl="0" w:tplc="04240003">
      <w:start w:val="1"/>
      <w:numFmt w:val="bullet"/>
      <w:pStyle w:val="Alineazaodstavkom"/>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D56F7"/>
    <w:multiLevelType w:val="hybridMultilevel"/>
    <w:tmpl w:val="A3544838"/>
    <w:lvl w:ilvl="0" w:tplc="0424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5541A2D"/>
    <w:multiLevelType w:val="hybridMultilevel"/>
    <w:tmpl w:val="7D2A54C2"/>
    <w:lvl w:ilvl="0" w:tplc="0424000F">
      <w:start w:val="1"/>
      <w:numFmt w:val="decimal"/>
      <w:lvlText w:val="%1."/>
      <w:lvlJc w:val="left"/>
      <w:pPr>
        <w:ind w:left="855" w:hanging="495"/>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5F945C4"/>
    <w:multiLevelType w:val="singleLevel"/>
    <w:tmpl w:val="65B2FA18"/>
    <w:lvl w:ilvl="0">
      <w:start w:val="1"/>
      <w:numFmt w:val="decimal"/>
      <w:pStyle w:val="len"/>
      <w:lvlText w:val="%1."/>
      <w:lvlJc w:val="left"/>
      <w:pPr>
        <w:tabs>
          <w:tab w:val="num" w:pos="360"/>
        </w:tabs>
        <w:ind w:left="360" w:hanging="360"/>
      </w:pPr>
    </w:lvl>
  </w:abstractNum>
  <w:abstractNum w:abstractNumId="5" w15:restartNumberingAfterBreak="0">
    <w:nsid w:val="07015CF6"/>
    <w:multiLevelType w:val="hybridMultilevel"/>
    <w:tmpl w:val="9E3CF94E"/>
    <w:lvl w:ilvl="0" w:tplc="28D0133A">
      <w:start w:val="1"/>
      <w:numFmt w:val="decimal"/>
      <w:lvlText w:val="%1."/>
      <w:lvlJc w:val="left"/>
      <w:pPr>
        <w:ind w:left="855" w:hanging="49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AF62057"/>
    <w:multiLevelType w:val="hybridMultilevel"/>
    <w:tmpl w:val="B9824010"/>
    <w:lvl w:ilvl="0" w:tplc="593CCE70">
      <w:numFmt w:val="bullet"/>
      <w:lvlText w:val="-"/>
      <w:lvlJc w:val="left"/>
      <w:pPr>
        <w:ind w:left="1069" w:hanging="360"/>
      </w:pPr>
      <w:rPr>
        <w:rFonts w:ascii="Calibri" w:eastAsia="Calibri" w:hAnsi="Calibri" w:cs="Calibri"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7" w15:restartNumberingAfterBreak="0">
    <w:nsid w:val="125F0780"/>
    <w:multiLevelType w:val="hybridMultilevel"/>
    <w:tmpl w:val="E3084EB8"/>
    <w:lvl w:ilvl="0" w:tplc="9BC428F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14176ED7"/>
    <w:multiLevelType w:val="multilevel"/>
    <w:tmpl w:val="0A9C74C2"/>
    <w:lvl w:ilvl="0">
      <w:start w:val="1"/>
      <w:numFmt w:val="decimal"/>
      <w:pStyle w:val="Oddelek"/>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937782A"/>
    <w:multiLevelType w:val="hybridMultilevel"/>
    <w:tmpl w:val="AD343048"/>
    <w:lvl w:ilvl="0" w:tplc="9BC428F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E91622F"/>
    <w:multiLevelType w:val="hybridMultilevel"/>
    <w:tmpl w:val="BBE4B748"/>
    <w:lvl w:ilvl="0" w:tplc="FFFFFFF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B9B2303"/>
    <w:multiLevelType w:val="singleLevel"/>
    <w:tmpl w:val="BF1637C6"/>
    <w:lvl w:ilvl="0">
      <w:start w:val="1"/>
      <w:numFmt w:val="decimal"/>
      <w:pStyle w:val="Slog1"/>
      <w:lvlText w:val="%1."/>
      <w:lvlJc w:val="left"/>
      <w:pPr>
        <w:tabs>
          <w:tab w:val="num" w:pos="360"/>
        </w:tabs>
        <w:ind w:left="360" w:hanging="360"/>
      </w:pPr>
      <w:rPr>
        <w:rFonts w:hint="default"/>
      </w:rPr>
    </w:lvl>
  </w:abstractNum>
  <w:abstractNum w:abstractNumId="14" w15:restartNumberingAfterBreak="0">
    <w:nsid w:val="2BC86171"/>
    <w:multiLevelType w:val="hybridMultilevel"/>
    <w:tmpl w:val="D1BA488C"/>
    <w:lvl w:ilvl="0" w:tplc="9BC428FE">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5" w15:restartNumberingAfterBreak="0">
    <w:nsid w:val="3002717A"/>
    <w:multiLevelType w:val="hybridMultilevel"/>
    <w:tmpl w:val="523C2CD0"/>
    <w:lvl w:ilvl="0" w:tplc="94061B7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3DD5D98"/>
    <w:multiLevelType w:val="hybridMultilevel"/>
    <w:tmpl w:val="F6E8EDFC"/>
    <w:lvl w:ilvl="0" w:tplc="FFFFFFFF">
      <w:start w:val="1"/>
      <w:numFmt w:val="bullet"/>
      <w:lvlText w:val="–"/>
      <w:lvlJc w:val="left"/>
      <w:pPr>
        <w:ind w:left="720" w:hanging="360"/>
      </w:pPr>
      <w:rPr>
        <w:rFonts w:ascii="Arial" w:eastAsiaTheme="minorHAnsi" w:hAnsi="Arial" w:cs="Arial" w:hint="default"/>
      </w:rPr>
    </w:lvl>
    <w:lvl w:ilvl="1" w:tplc="4F6C453A">
      <w:start w:val="1"/>
      <w:numFmt w:val="bullet"/>
      <w:lvlText w:val="–"/>
      <w:lvlJc w:val="left"/>
      <w:pPr>
        <w:ind w:left="1440" w:hanging="360"/>
      </w:pPr>
      <w:rPr>
        <w:rFonts w:ascii="Arial" w:eastAsiaTheme="minorHAnsi"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64F31A6"/>
    <w:multiLevelType w:val="hybridMultilevel"/>
    <w:tmpl w:val="9E3CF94E"/>
    <w:lvl w:ilvl="0" w:tplc="FFFFFFFF">
      <w:start w:val="1"/>
      <w:numFmt w:val="decimal"/>
      <w:lvlText w:val="%1."/>
      <w:lvlJc w:val="left"/>
      <w:pPr>
        <w:ind w:left="855" w:hanging="49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8635FD6"/>
    <w:multiLevelType w:val="hybridMultilevel"/>
    <w:tmpl w:val="7A4AF212"/>
    <w:lvl w:ilvl="0" w:tplc="5D04C1F6">
      <w:start w:val="1"/>
      <w:numFmt w:val="bullet"/>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9"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0" w15:restartNumberingAfterBreak="0">
    <w:nsid w:val="40FF487A"/>
    <w:multiLevelType w:val="hybridMultilevel"/>
    <w:tmpl w:val="CDF4A8D6"/>
    <w:lvl w:ilvl="0" w:tplc="9BC428F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16A5150"/>
    <w:multiLevelType w:val="hybridMultilevel"/>
    <w:tmpl w:val="3B42C158"/>
    <w:lvl w:ilvl="0" w:tplc="94061B7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42434BA4"/>
    <w:multiLevelType w:val="hybridMultilevel"/>
    <w:tmpl w:val="F20409FA"/>
    <w:lvl w:ilvl="0" w:tplc="C652ECE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3556828"/>
    <w:multiLevelType w:val="hybridMultilevel"/>
    <w:tmpl w:val="FF8A006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49B3DB9"/>
    <w:multiLevelType w:val="hybridMultilevel"/>
    <w:tmpl w:val="92D0E29C"/>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40C63C7C">
      <w:start w:val="5"/>
      <w:numFmt w:val="bullet"/>
      <w:lvlText w:val="–"/>
      <w:lvlJc w:val="left"/>
      <w:pPr>
        <w:ind w:left="2160" w:hanging="360"/>
      </w:pPr>
      <w:rPr>
        <w:rFonts w:ascii="Calibri" w:eastAsia="Calibri" w:hAnsi="Calibri" w:cs="Calibri"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4DE425A"/>
    <w:multiLevelType w:val="hybridMultilevel"/>
    <w:tmpl w:val="F0BACFB0"/>
    <w:lvl w:ilvl="0" w:tplc="C68445E0">
      <w:start w:val="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4FC34DA"/>
    <w:multiLevelType w:val="hybridMultilevel"/>
    <w:tmpl w:val="8DC689FC"/>
    <w:lvl w:ilvl="0" w:tplc="314E09A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4507533A"/>
    <w:multiLevelType w:val="hybridMultilevel"/>
    <w:tmpl w:val="759E88BA"/>
    <w:lvl w:ilvl="0" w:tplc="0424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670078A"/>
    <w:multiLevelType w:val="hybridMultilevel"/>
    <w:tmpl w:val="9AEA9280"/>
    <w:lvl w:ilvl="0" w:tplc="AAF4C2AA">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59A2DB4"/>
    <w:multiLevelType w:val="hybridMultilevel"/>
    <w:tmpl w:val="BBC4F0EA"/>
    <w:lvl w:ilvl="0" w:tplc="C652ECE0">
      <w:start w:val="1"/>
      <w:numFmt w:val="bullet"/>
      <w:lvlText w:val="–"/>
      <w:lvlJc w:val="left"/>
      <w:pPr>
        <w:ind w:left="1069" w:hanging="360"/>
      </w:pPr>
      <w:rPr>
        <w:rFonts w:ascii="Arial" w:eastAsia="Times New Roman" w:hAnsi="Arial" w:cs="Arial"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31" w15:restartNumberingAfterBreak="0">
    <w:nsid w:val="55A73289"/>
    <w:multiLevelType w:val="hybridMultilevel"/>
    <w:tmpl w:val="C50AC618"/>
    <w:lvl w:ilvl="0" w:tplc="0424000F">
      <w:start w:val="1"/>
      <w:numFmt w:val="decimal"/>
      <w:lvlText w:val="%1."/>
      <w:lvlJc w:val="left"/>
      <w:pPr>
        <w:ind w:left="855" w:hanging="49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DF55282"/>
    <w:multiLevelType w:val="hybridMultilevel"/>
    <w:tmpl w:val="E48ECD48"/>
    <w:lvl w:ilvl="0" w:tplc="0424000F">
      <w:start w:val="1"/>
      <w:numFmt w:val="decimal"/>
      <w:lvlText w:val="%1."/>
      <w:lvlJc w:val="left"/>
      <w:pPr>
        <w:ind w:left="855" w:hanging="495"/>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E8D1EAA"/>
    <w:multiLevelType w:val="hybridMultilevel"/>
    <w:tmpl w:val="4AEE1394"/>
    <w:lvl w:ilvl="0" w:tplc="9BC428F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7736C3C"/>
    <w:multiLevelType w:val="hybridMultilevel"/>
    <w:tmpl w:val="843215E8"/>
    <w:lvl w:ilvl="0" w:tplc="9BC428FE">
      <w:start w:val="1"/>
      <w:numFmt w:val="bullet"/>
      <w:lvlText w:val=""/>
      <w:lvlJc w:val="left"/>
      <w:pPr>
        <w:ind w:left="855" w:hanging="495"/>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9D601CB"/>
    <w:multiLevelType w:val="hybridMultilevel"/>
    <w:tmpl w:val="DE98FE9A"/>
    <w:lvl w:ilvl="0" w:tplc="4BD8F27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A187845"/>
    <w:multiLevelType w:val="multilevel"/>
    <w:tmpl w:val="8B584B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6A952847"/>
    <w:multiLevelType w:val="hybridMultilevel"/>
    <w:tmpl w:val="C42C8648"/>
    <w:lvl w:ilvl="0" w:tplc="9BC428F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B0612D9"/>
    <w:multiLevelType w:val="hybridMultilevel"/>
    <w:tmpl w:val="FF8A006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6CB943F2"/>
    <w:multiLevelType w:val="hybridMultilevel"/>
    <w:tmpl w:val="49EAF804"/>
    <w:lvl w:ilvl="0" w:tplc="FFFFFFFF">
      <w:start w:val="1"/>
      <w:numFmt w:val="bullet"/>
      <w:lvlText w:val=""/>
      <w:lvlJc w:val="left"/>
      <w:pPr>
        <w:ind w:left="720" w:hanging="360"/>
      </w:pPr>
      <w:rPr>
        <w:rFonts w:ascii="Symbol" w:hAnsi="Symbol" w:hint="default"/>
      </w:rPr>
    </w:lvl>
    <w:lvl w:ilvl="1" w:tplc="9BC428FE">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7025EFE"/>
    <w:multiLevelType w:val="hybridMultilevel"/>
    <w:tmpl w:val="02BC4ABC"/>
    <w:lvl w:ilvl="0" w:tplc="4BD8F27C">
      <w:start w:val="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A25C8F"/>
    <w:multiLevelType w:val="hybridMultilevel"/>
    <w:tmpl w:val="0344BC1E"/>
    <w:lvl w:ilvl="0" w:tplc="976C9ABE">
      <w:start w:val="1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FAF25DB"/>
    <w:multiLevelType w:val="hybridMultilevel"/>
    <w:tmpl w:val="0972B2F0"/>
    <w:lvl w:ilvl="0" w:tplc="FF8055CC">
      <w:start w:val="1"/>
      <w:numFmt w:val="bullet"/>
      <w:lvlText w:val=""/>
      <w:lvlJc w:val="left"/>
      <w:pPr>
        <w:ind w:left="1145" w:hanging="360"/>
      </w:pPr>
      <w:rPr>
        <w:rFonts w:ascii="Symbol" w:hAnsi="Symbol" w:hint="default"/>
      </w:rPr>
    </w:lvl>
    <w:lvl w:ilvl="1" w:tplc="04240003" w:tentative="1">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num w:numId="1" w16cid:durableId="77870804">
    <w:abstractNumId w:val="10"/>
  </w:num>
  <w:num w:numId="2" w16cid:durableId="1273316069">
    <w:abstractNumId w:val="32"/>
  </w:num>
  <w:num w:numId="3" w16cid:durableId="189731908">
    <w:abstractNumId w:val="36"/>
  </w:num>
  <w:num w:numId="4" w16cid:durableId="1449157669">
    <w:abstractNumId w:val="44"/>
  </w:num>
  <w:num w:numId="5" w16cid:durableId="1072582118">
    <w:abstractNumId w:val="22"/>
  </w:num>
  <w:num w:numId="6" w16cid:durableId="1918201479">
    <w:abstractNumId w:val="25"/>
  </w:num>
  <w:num w:numId="7" w16cid:durableId="1341277382">
    <w:abstractNumId w:val="1"/>
  </w:num>
  <w:num w:numId="8" w16cid:durableId="1454666067">
    <w:abstractNumId w:val="19"/>
    <w:lvlOverride w:ilvl="0">
      <w:startOverride w:val="1"/>
    </w:lvlOverride>
  </w:num>
  <w:num w:numId="9" w16cid:durableId="308871171">
    <w:abstractNumId w:val="13"/>
  </w:num>
  <w:num w:numId="10" w16cid:durableId="725878391">
    <w:abstractNumId w:val="4"/>
  </w:num>
  <w:num w:numId="11" w16cid:durableId="981540176">
    <w:abstractNumId w:val="8"/>
  </w:num>
  <w:num w:numId="12" w16cid:durableId="1407341046">
    <w:abstractNumId w:val="23"/>
  </w:num>
  <w:num w:numId="13" w16cid:durableId="486020475">
    <w:abstractNumId w:val="15"/>
  </w:num>
  <w:num w:numId="14" w16cid:durableId="860896406">
    <w:abstractNumId w:val="21"/>
  </w:num>
  <w:num w:numId="15" w16cid:durableId="1213419314">
    <w:abstractNumId w:val="27"/>
  </w:num>
  <w:num w:numId="16" w16cid:durableId="1634864339">
    <w:abstractNumId w:val="26"/>
  </w:num>
  <w:num w:numId="17" w16cid:durableId="1983583158">
    <w:abstractNumId w:val="6"/>
  </w:num>
  <w:num w:numId="18" w16cid:durableId="1213300254">
    <w:abstractNumId w:val="45"/>
  </w:num>
  <w:num w:numId="19" w16cid:durableId="1270508634">
    <w:abstractNumId w:val="16"/>
  </w:num>
  <w:num w:numId="20" w16cid:durableId="787552082">
    <w:abstractNumId w:val="43"/>
  </w:num>
  <w:num w:numId="21" w16cid:durableId="428743540">
    <w:abstractNumId w:val="30"/>
  </w:num>
  <w:num w:numId="22" w16cid:durableId="1611162054">
    <w:abstractNumId w:val="18"/>
  </w:num>
  <w:num w:numId="23" w16cid:durableId="1771244680">
    <w:abstractNumId w:val="24"/>
  </w:num>
  <w:num w:numId="24" w16cid:durableId="806972324">
    <w:abstractNumId w:val="38"/>
  </w:num>
  <w:num w:numId="25" w16cid:durableId="1152529497">
    <w:abstractNumId w:val="12"/>
  </w:num>
  <w:num w:numId="26" w16cid:durableId="890455373">
    <w:abstractNumId w:val="20"/>
  </w:num>
  <w:num w:numId="27" w16cid:durableId="857812016">
    <w:abstractNumId w:val="9"/>
  </w:num>
  <w:num w:numId="28" w16cid:durableId="924804188">
    <w:abstractNumId w:val="40"/>
  </w:num>
  <w:num w:numId="29" w16cid:durableId="600067396">
    <w:abstractNumId w:val="37"/>
  </w:num>
  <w:num w:numId="30" w16cid:durableId="919680188">
    <w:abstractNumId w:val="42"/>
  </w:num>
  <w:num w:numId="31" w16cid:durableId="1162770040">
    <w:abstractNumId w:val="11"/>
  </w:num>
  <w:num w:numId="32" w16cid:durableId="2080859658">
    <w:abstractNumId w:val="29"/>
  </w:num>
  <w:num w:numId="33" w16cid:durableId="2134210663">
    <w:abstractNumId w:val="34"/>
  </w:num>
  <w:num w:numId="34" w16cid:durableId="1618753526">
    <w:abstractNumId w:val="31"/>
  </w:num>
  <w:num w:numId="35" w16cid:durableId="122701567">
    <w:abstractNumId w:val="5"/>
  </w:num>
  <w:num w:numId="36" w16cid:durableId="1795174544">
    <w:abstractNumId w:val="2"/>
  </w:num>
  <w:num w:numId="37" w16cid:durableId="976179390">
    <w:abstractNumId w:val="41"/>
  </w:num>
  <w:num w:numId="38" w16cid:durableId="1133862171">
    <w:abstractNumId w:val="28"/>
  </w:num>
  <w:num w:numId="39" w16cid:durableId="664357675">
    <w:abstractNumId w:val="33"/>
  </w:num>
  <w:num w:numId="40" w16cid:durableId="1801606981">
    <w:abstractNumId w:val="3"/>
  </w:num>
  <w:num w:numId="41" w16cid:durableId="979697854">
    <w:abstractNumId w:val="17"/>
  </w:num>
  <w:num w:numId="42" w16cid:durableId="59988754">
    <w:abstractNumId w:val="14"/>
  </w:num>
  <w:num w:numId="43" w16cid:durableId="2047607093">
    <w:abstractNumId w:val="0"/>
  </w:num>
  <w:num w:numId="44" w16cid:durableId="119229900">
    <w:abstractNumId w:val="7"/>
  </w:num>
  <w:num w:numId="45" w16cid:durableId="1597517413">
    <w:abstractNumId w:val="39"/>
  </w:num>
  <w:num w:numId="46" w16cid:durableId="41235679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74E"/>
    <w:rsid w:val="0000010B"/>
    <w:rsid w:val="00007476"/>
    <w:rsid w:val="00012024"/>
    <w:rsid w:val="0001214D"/>
    <w:rsid w:val="0001404C"/>
    <w:rsid w:val="00015323"/>
    <w:rsid w:val="00017D6E"/>
    <w:rsid w:val="00020CD6"/>
    <w:rsid w:val="00021751"/>
    <w:rsid w:val="00023A88"/>
    <w:rsid w:val="00026132"/>
    <w:rsid w:val="000305FD"/>
    <w:rsid w:val="00031508"/>
    <w:rsid w:val="00031AA7"/>
    <w:rsid w:val="00033207"/>
    <w:rsid w:val="00033FCB"/>
    <w:rsid w:val="00035A3C"/>
    <w:rsid w:val="0003611A"/>
    <w:rsid w:val="00037148"/>
    <w:rsid w:val="00042EC3"/>
    <w:rsid w:val="000430E1"/>
    <w:rsid w:val="00043ACB"/>
    <w:rsid w:val="00043C99"/>
    <w:rsid w:val="000452F7"/>
    <w:rsid w:val="000463E3"/>
    <w:rsid w:val="000465AF"/>
    <w:rsid w:val="00047CAF"/>
    <w:rsid w:val="00051ED9"/>
    <w:rsid w:val="00056850"/>
    <w:rsid w:val="00061815"/>
    <w:rsid w:val="00061CA8"/>
    <w:rsid w:val="00061F00"/>
    <w:rsid w:val="00061FB7"/>
    <w:rsid w:val="00064A55"/>
    <w:rsid w:val="00065147"/>
    <w:rsid w:val="000656AF"/>
    <w:rsid w:val="0006585F"/>
    <w:rsid w:val="0006793E"/>
    <w:rsid w:val="00070AF8"/>
    <w:rsid w:val="00073901"/>
    <w:rsid w:val="00074258"/>
    <w:rsid w:val="00080579"/>
    <w:rsid w:val="0008150F"/>
    <w:rsid w:val="00081E57"/>
    <w:rsid w:val="00082899"/>
    <w:rsid w:val="00083F17"/>
    <w:rsid w:val="00084067"/>
    <w:rsid w:val="000846F8"/>
    <w:rsid w:val="00085E1D"/>
    <w:rsid w:val="000862BE"/>
    <w:rsid w:val="000868E6"/>
    <w:rsid w:val="00092FFE"/>
    <w:rsid w:val="000A0AB1"/>
    <w:rsid w:val="000A2CC3"/>
    <w:rsid w:val="000A3C6B"/>
    <w:rsid w:val="000A3D3E"/>
    <w:rsid w:val="000A5A3F"/>
    <w:rsid w:val="000A5F03"/>
    <w:rsid w:val="000A7238"/>
    <w:rsid w:val="000A7E14"/>
    <w:rsid w:val="000B567D"/>
    <w:rsid w:val="000B5DB2"/>
    <w:rsid w:val="000B5E58"/>
    <w:rsid w:val="000B64A6"/>
    <w:rsid w:val="000C0DBF"/>
    <w:rsid w:val="000C1F4D"/>
    <w:rsid w:val="000C3DBD"/>
    <w:rsid w:val="000D0989"/>
    <w:rsid w:val="000D25D5"/>
    <w:rsid w:val="000D3D77"/>
    <w:rsid w:val="000E14EB"/>
    <w:rsid w:val="000F0B0B"/>
    <w:rsid w:val="000F1CB3"/>
    <w:rsid w:val="000F381D"/>
    <w:rsid w:val="000F529D"/>
    <w:rsid w:val="000F533D"/>
    <w:rsid w:val="00102FBE"/>
    <w:rsid w:val="00102FEB"/>
    <w:rsid w:val="00107AA8"/>
    <w:rsid w:val="001116B7"/>
    <w:rsid w:val="001154E3"/>
    <w:rsid w:val="00120653"/>
    <w:rsid w:val="00120DE7"/>
    <w:rsid w:val="00121333"/>
    <w:rsid w:val="0012356C"/>
    <w:rsid w:val="0012489E"/>
    <w:rsid w:val="001259AD"/>
    <w:rsid w:val="001268EF"/>
    <w:rsid w:val="00127697"/>
    <w:rsid w:val="00130502"/>
    <w:rsid w:val="0013078B"/>
    <w:rsid w:val="0013402B"/>
    <w:rsid w:val="001357B2"/>
    <w:rsid w:val="001360AB"/>
    <w:rsid w:val="0013633A"/>
    <w:rsid w:val="0014075B"/>
    <w:rsid w:val="0014300A"/>
    <w:rsid w:val="00147FE1"/>
    <w:rsid w:val="00157014"/>
    <w:rsid w:val="00160548"/>
    <w:rsid w:val="00160B9C"/>
    <w:rsid w:val="00161D07"/>
    <w:rsid w:val="0016272E"/>
    <w:rsid w:val="001703AD"/>
    <w:rsid w:val="00170C5D"/>
    <w:rsid w:val="00172251"/>
    <w:rsid w:val="00172F94"/>
    <w:rsid w:val="00185FD7"/>
    <w:rsid w:val="0019043F"/>
    <w:rsid w:val="001908E4"/>
    <w:rsid w:val="00190EDD"/>
    <w:rsid w:val="001914B9"/>
    <w:rsid w:val="00191BF9"/>
    <w:rsid w:val="00193854"/>
    <w:rsid w:val="00193F8D"/>
    <w:rsid w:val="00194523"/>
    <w:rsid w:val="00194ABB"/>
    <w:rsid w:val="0019660C"/>
    <w:rsid w:val="001969E4"/>
    <w:rsid w:val="0019719D"/>
    <w:rsid w:val="00197497"/>
    <w:rsid w:val="001A2B40"/>
    <w:rsid w:val="001A5FCD"/>
    <w:rsid w:val="001B129C"/>
    <w:rsid w:val="001B49A1"/>
    <w:rsid w:val="001C03A0"/>
    <w:rsid w:val="001C0B24"/>
    <w:rsid w:val="001C6004"/>
    <w:rsid w:val="001C7BC2"/>
    <w:rsid w:val="001D05B2"/>
    <w:rsid w:val="001D1041"/>
    <w:rsid w:val="001D34D2"/>
    <w:rsid w:val="001D3E5F"/>
    <w:rsid w:val="001D4E12"/>
    <w:rsid w:val="001D585B"/>
    <w:rsid w:val="001D68E7"/>
    <w:rsid w:val="001D7E8D"/>
    <w:rsid w:val="001E2952"/>
    <w:rsid w:val="001E463A"/>
    <w:rsid w:val="001E65D3"/>
    <w:rsid w:val="001E70A0"/>
    <w:rsid w:val="001F04A3"/>
    <w:rsid w:val="001F2844"/>
    <w:rsid w:val="001F46B0"/>
    <w:rsid w:val="001F5A65"/>
    <w:rsid w:val="001F5EF8"/>
    <w:rsid w:val="001F72AA"/>
    <w:rsid w:val="00200F5C"/>
    <w:rsid w:val="00202A77"/>
    <w:rsid w:val="00203E73"/>
    <w:rsid w:val="002062DA"/>
    <w:rsid w:val="00206F6A"/>
    <w:rsid w:val="00210F77"/>
    <w:rsid w:val="0021214A"/>
    <w:rsid w:val="002133E6"/>
    <w:rsid w:val="00213F41"/>
    <w:rsid w:val="00214594"/>
    <w:rsid w:val="00214F2E"/>
    <w:rsid w:val="0021622B"/>
    <w:rsid w:val="002162C7"/>
    <w:rsid w:val="0021675C"/>
    <w:rsid w:val="0022158B"/>
    <w:rsid w:val="00221800"/>
    <w:rsid w:val="00224F61"/>
    <w:rsid w:val="00226722"/>
    <w:rsid w:val="00227C9A"/>
    <w:rsid w:val="002333F4"/>
    <w:rsid w:val="0023648F"/>
    <w:rsid w:val="00236C85"/>
    <w:rsid w:val="00237ECD"/>
    <w:rsid w:val="00241422"/>
    <w:rsid w:val="00241575"/>
    <w:rsid w:val="00250E13"/>
    <w:rsid w:val="0025138A"/>
    <w:rsid w:val="0025186A"/>
    <w:rsid w:val="00252BC5"/>
    <w:rsid w:val="0025508F"/>
    <w:rsid w:val="00256EB7"/>
    <w:rsid w:val="00271CE5"/>
    <w:rsid w:val="0027579A"/>
    <w:rsid w:val="00275E56"/>
    <w:rsid w:val="00281CB2"/>
    <w:rsid w:val="00282020"/>
    <w:rsid w:val="002906FA"/>
    <w:rsid w:val="00293092"/>
    <w:rsid w:val="002937DD"/>
    <w:rsid w:val="00295C1C"/>
    <w:rsid w:val="00295C88"/>
    <w:rsid w:val="002979CD"/>
    <w:rsid w:val="002A3807"/>
    <w:rsid w:val="002A5C28"/>
    <w:rsid w:val="002A7499"/>
    <w:rsid w:val="002B09D8"/>
    <w:rsid w:val="002B251E"/>
    <w:rsid w:val="002B4118"/>
    <w:rsid w:val="002B62F0"/>
    <w:rsid w:val="002B674E"/>
    <w:rsid w:val="002B72A8"/>
    <w:rsid w:val="002C0B59"/>
    <w:rsid w:val="002C1D29"/>
    <w:rsid w:val="002C5939"/>
    <w:rsid w:val="002C7C96"/>
    <w:rsid w:val="002D2182"/>
    <w:rsid w:val="002D58A0"/>
    <w:rsid w:val="002E3898"/>
    <w:rsid w:val="002F2E05"/>
    <w:rsid w:val="002F52FF"/>
    <w:rsid w:val="002F5451"/>
    <w:rsid w:val="002F6C8C"/>
    <w:rsid w:val="00301C31"/>
    <w:rsid w:val="00301EF4"/>
    <w:rsid w:val="003028CE"/>
    <w:rsid w:val="003068A8"/>
    <w:rsid w:val="00306915"/>
    <w:rsid w:val="00306FAA"/>
    <w:rsid w:val="0031049C"/>
    <w:rsid w:val="00310A02"/>
    <w:rsid w:val="00310A0F"/>
    <w:rsid w:val="00312653"/>
    <w:rsid w:val="003130D9"/>
    <w:rsid w:val="00313277"/>
    <w:rsid w:val="003179A3"/>
    <w:rsid w:val="00320836"/>
    <w:rsid w:val="00322F1A"/>
    <w:rsid w:val="00323047"/>
    <w:rsid w:val="0032481F"/>
    <w:rsid w:val="003266E1"/>
    <w:rsid w:val="0032685A"/>
    <w:rsid w:val="00327CBE"/>
    <w:rsid w:val="00332969"/>
    <w:rsid w:val="00337479"/>
    <w:rsid w:val="0034285A"/>
    <w:rsid w:val="00343576"/>
    <w:rsid w:val="00347A4B"/>
    <w:rsid w:val="00347E24"/>
    <w:rsid w:val="003525F2"/>
    <w:rsid w:val="00353AAD"/>
    <w:rsid w:val="00357E7F"/>
    <w:rsid w:val="003601F8"/>
    <w:rsid w:val="003636BF"/>
    <w:rsid w:val="00363966"/>
    <w:rsid w:val="00365CD3"/>
    <w:rsid w:val="003668BD"/>
    <w:rsid w:val="003672E4"/>
    <w:rsid w:val="0037108D"/>
    <w:rsid w:val="00373E3D"/>
    <w:rsid w:val="0037479F"/>
    <w:rsid w:val="00374E86"/>
    <w:rsid w:val="0037568B"/>
    <w:rsid w:val="00375B97"/>
    <w:rsid w:val="00375FA5"/>
    <w:rsid w:val="00377773"/>
    <w:rsid w:val="003805C7"/>
    <w:rsid w:val="00380A3A"/>
    <w:rsid w:val="003845B4"/>
    <w:rsid w:val="003854A3"/>
    <w:rsid w:val="0038722D"/>
    <w:rsid w:val="00387B1A"/>
    <w:rsid w:val="00387DE0"/>
    <w:rsid w:val="00387EEF"/>
    <w:rsid w:val="00392E7B"/>
    <w:rsid w:val="0039359E"/>
    <w:rsid w:val="0039576E"/>
    <w:rsid w:val="00395E04"/>
    <w:rsid w:val="003A006A"/>
    <w:rsid w:val="003A01EB"/>
    <w:rsid w:val="003A1229"/>
    <w:rsid w:val="003A34F6"/>
    <w:rsid w:val="003A3841"/>
    <w:rsid w:val="003A455B"/>
    <w:rsid w:val="003B1761"/>
    <w:rsid w:val="003B670D"/>
    <w:rsid w:val="003C0957"/>
    <w:rsid w:val="003C2062"/>
    <w:rsid w:val="003C4D53"/>
    <w:rsid w:val="003C6E2D"/>
    <w:rsid w:val="003D3496"/>
    <w:rsid w:val="003D52E6"/>
    <w:rsid w:val="003D6DC9"/>
    <w:rsid w:val="003E1C74"/>
    <w:rsid w:val="003E503E"/>
    <w:rsid w:val="003E5474"/>
    <w:rsid w:val="003E5880"/>
    <w:rsid w:val="003F180E"/>
    <w:rsid w:val="003F7E07"/>
    <w:rsid w:val="00401142"/>
    <w:rsid w:val="00403889"/>
    <w:rsid w:val="004039C1"/>
    <w:rsid w:val="004062DC"/>
    <w:rsid w:val="00406D2A"/>
    <w:rsid w:val="00417E87"/>
    <w:rsid w:val="004209ED"/>
    <w:rsid w:val="00423CF0"/>
    <w:rsid w:val="00424041"/>
    <w:rsid w:val="00424944"/>
    <w:rsid w:val="00424977"/>
    <w:rsid w:val="00425C4A"/>
    <w:rsid w:val="004265A7"/>
    <w:rsid w:val="004276A3"/>
    <w:rsid w:val="00431515"/>
    <w:rsid w:val="00436620"/>
    <w:rsid w:val="00437513"/>
    <w:rsid w:val="004439D5"/>
    <w:rsid w:val="00446D65"/>
    <w:rsid w:val="0044733B"/>
    <w:rsid w:val="004479FC"/>
    <w:rsid w:val="00451BCB"/>
    <w:rsid w:val="00460324"/>
    <w:rsid w:val="00460DFC"/>
    <w:rsid w:val="00461F96"/>
    <w:rsid w:val="00463130"/>
    <w:rsid w:val="0046396D"/>
    <w:rsid w:val="00464C2A"/>
    <w:rsid w:val="004708CD"/>
    <w:rsid w:val="0047145E"/>
    <w:rsid w:val="00471EE1"/>
    <w:rsid w:val="00472001"/>
    <w:rsid w:val="004727CD"/>
    <w:rsid w:val="00473480"/>
    <w:rsid w:val="0047497D"/>
    <w:rsid w:val="00476BD2"/>
    <w:rsid w:val="00476CAC"/>
    <w:rsid w:val="00477013"/>
    <w:rsid w:val="00481AD7"/>
    <w:rsid w:val="004832DC"/>
    <w:rsid w:val="00484387"/>
    <w:rsid w:val="004865B2"/>
    <w:rsid w:val="00486A17"/>
    <w:rsid w:val="0048705E"/>
    <w:rsid w:val="004871C8"/>
    <w:rsid w:val="00493EEC"/>
    <w:rsid w:val="0049795A"/>
    <w:rsid w:val="004A04F7"/>
    <w:rsid w:val="004A22BD"/>
    <w:rsid w:val="004A2FCC"/>
    <w:rsid w:val="004A399E"/>
    <w:rsid w:val="004A53DE"/>
    <w:rsid w:val="004A56C4"/>
    <w:rsid w:val="004A5ECF"/>
    <w:rsid w:val="004B19A1"/>
    <w:rsid w:val="004B1C6E"/>
    <w:rsid w:val="004B260F"/>
    <w:rsid w:val="004B3E56"/>
    <w:rsid w:val="004B540E"/>
    <w:rsid w:val="004B546B"/>
    <w:rsid w:val="004B5497"/>
    <w:rsid w:val="004B7673"/>
    <w:rsid w:val="004C0A49"/>
    <w:rsid w:val="004C172C"/>
    <w:rsid w:val="004C1DFE"/>
    <w:rsid w:val="004C1F5D"/>
    <w:rsid w:val="004C3A81"/>
    <w:rsid w:val="004C3D49"/>
    <w:rsid w:val="004C407F"/>
    <w:rsid w:val="004C75C1"/>
    <w:rsid w:val="004D1A23"/>
    <w:rsid w:val="004D3CFC"/>
    <w:rsid w:val="004E1331"/>
    <w:rsid w:val="004E4302"/>
    <w:rsid w:val="004E7B66"/>
    <w:rsid w:val="004F0791"/>
    <w:rsid w:val="004F7C48"/>
    <w:rsid w:val="00501AD8"/>
    <w:rsid w:val="00502E41"/>
    <w:rsid w:val="00503450"/>
    <w:rsid w:val="00503942"/>
    <w:rsid w:val="00505A21"/>
    <w:rsid w:val="00506755"/>
    <w:rsid w:val="005072D5"/>
    <w:rsid w:val="00511F49"/>
    <w:rsid w:val="00514EC2"/>
    <w:rsid w:val="00515635"/>
    <w:rsid w:val="00515F64"/>
    <w:rsid w:val="005166FF"/>
    <w:rsid w:val="005207C8"/>
    <w:rsid w:val="00523F1D"/>
    <w:rsid w:val="00526246"/>
    <w:rsid w:val="00527EFD"/>
    <w:rsid w:val="0053188C"/>
    <w:rsid w:val="00535208"/>
    <w:rsid w:val="005369DF"/>
    <w:rsid w:val="00537C34"/>
    <w:rsid w:val="0054098B"/>
    <w:rsid w:val="00541816"/>
    <w:rsid w:val="00543F9A"/>
    <w:rsid w:val="00546E52"/>
    <w:rsid w:val="0055025E"/>
    <w:rsid w:val="00551801"/>
    <w:rsid w:val="00551933"/>
    <w:rsid w:val="00554D05"/>
    <w:rsid w:val="00555390"/>
    <w:rsid w:val="00557A0C"/>
    <w:rsid w:val="00557E4F"/>
    <w:rsid w:val="00562251"/>
    <w:rsid w:val="005639C1"/>
    <w:rsid w:val="005647BB"/>
    <w:rsid w:val="0056619A"/>
    <w:rsid w:val="00566EC3"/>
    <w:rsid w:val="00567106"/>
    <w:rsid w:val="005712A3"/>
    <w:rsid w:val="005748D0"/>
    <w:rsid w:val="005757A1"/>
    <w:rsid w:val="00575E50"/>
    <w:rsid w:val="005767BA"/>
    <w:rsid w:val="00576979"/>
    <w:rsid w:val="00580987"/>
    <w:rsid w:val="00581496"/>
    <w:rsid w:val="00583C3D"/>
    <w:rsid w:val="0059111F"/>
    <w:rsid w:val="005A0B82"/>
    <w:rsid w:val="005A0BE7"/>
    <w:rsid w:val="005A0FBA"/>
    <w:rsid w:val="005A1498"/>
    <w:rsid w:val="005A2A23"/>
    <w:rsid w:val="005A4EAB"/>
    <w:rsid w:val="005A6264"/>
    <w:rsid w:val="005B0E28"/>
    <w:rsid w:val="005B317C"/>
    <w:rsid w:val="005B35CD"/>
    <w:rsid w:val="005B3945"/>
    <w:rsid w:val="005B4663"/>
    <w:rsid w:val="005B5E4A"/>
    <w:rsid w:val="005C11FC"/>
    <w:rsid w:val="005C358E"/>
    <w:rsid w:val="005C4CF3"/>
    <w:rsid w:val="005C509A"/>
    <w:rsid w:val="005C662A"/>
    <w:rsid w:val="005C6BB4"/>
    <w:rsid w:val="005C6F98"/>
    <w:rsid w:val="005C70F1"/>
    <w:rsid w:val="005C7A63"/>
    <w:rsid w:val="005D0283"/>
    <w:rsid w:val="005D1BEE"/>
    <w:rsid w:val="005D2ECC"/>
    <w:rsid w:val="005D300C"/>
    <w:rsid w:val="005D6238"/>
    <w:rsid w:val="005D6A0E"/>
    <w:rsid w:val="005D7044"/>
    <w:rsid w:val="005E1D3C"/>
    <w:rsid w:val="005E2FE2"/>
    <w:rsid w:val="005E6189"/>
    <w:rsid w:val="005E71DC"/>
    <w:rsid w:val="005E7866"/>
    <w:rsid w:val="005F16FE"/>
    <w:rsid w:val="005F40F9"/>
    <w:rsid w:val="006010B1"/>
    <w:rsid w:val="00604F5C"/>
    <w:rsid w:val="0061035D"/>
    <w:rsid w:val="00610603"/>
    <w:rsid w:val="00612363"/>
    <w:rsid w:val="006174C0"/>
    <w:rsid w:val="006200C9"/>
    <w:rsid w:val="006223EF"/>
    <w:rsid w:val="00623627"/>
    <w:rsid w:val="00623C1F"/>
    <w:rsid w:val="00624C80"/>
    <w:rsid w:val="00631980"/>
    <w:rsid w:val="0063198E"/>
    <w:rsid w:val="00632253"/>
    <w:rsid w:val="0063634C"/>
    <w:rsid w:val="006421CD"/>
    <w:rsid w:val="00642714"/>
    <w:rsid w:val="00644FBA"/>
    <w:rsid w:val="006455CE"/>
    <w:rsid w:val="00646751"/>
    <w:rsid w:val="0064744D"/>
    <w:rsid w:val="00650428"/>
    <w:rsid w:val="00651FCC"/>
    <w:rsid w:val="0065226C"/>
    <w:rsid w:val="0065317D"/>
    <w:rsid w:val="00653638"/>
    <w:rsid w:val="0065483F"/>
    <w:rsid w:val="00655046"/>
    <w:rsid w:val="006554AE"/>
    <w:rsid w:val="006560ED"/>
    <w:rsid w:val="006562FA"/>
    <w:rsid w:val="006626CB"/>
    <w:rsid w:val="0066358C"/>
    <w:rsid w:val="006654C6"/>
    <w:rsid w:val="0066658F"/>
    <w:rsid w:val="00670F04"/>
    <w:rsid w:val="00670F45"/>
    <w:rsid w:val="00672498"/>
    <w:rsid w:val="006762CE"/>
    <w:rsid w:val="0067731B"/>
    <w:rsid w:val="00677D94"/>
    <w:rsid w:val="00681E48"/>
    <w:rsid w:val="00685065"/>
    <w:rsid w:val="006852F4"/>
    <w:rsid w:val="00690D03"/>
    <w:rsid w:val="00692376"/>
    <w:rsid w:val="00693403"/>
    <w:rsid w:val="00694DC1"/>
    <w:rsid w:val="00695120"/>
    <w:rsid w:val="0069569F"/>
    <w:rsid w:val="00697189"/>
    <w:rsid w:val="006A0052"/>
    <w:rsid w:val="006A129F"/>
    <w:rsid w:val="006A5BEA"/>
    <w:rsid w:val="006A6FC6"/>
    <w:rsid w:val="006A784A"/>
    <w:rsid w:val="006B0BA9"/>
    <w:rsid w:val="006B2B83"/>
    <w:rsid w:val="006B36C8"/>
    <w:rsid w:val="006B38B2"/>
    <w:rsid w:val="006B5BDE"/>
    <w:rsid w:val="006B61F5"/>
    <w:rsid w:val="006B78EC"/>
    <w:rsid w:val="006C01FC"/>
    <w:rsid w:val="006C1D5C"/>
    <w:rsid w:val="006C26AC"/>
    <w:rsid w:val="006C618F"/>
    <w:rsid w:val="006D42D9"/>
    <w:rsid w:val="006D4984"/>
    <w:rsid w:val="006E1ABC"/>
    <w:rsid w:val="006E1B32"/>
    <w:rsid w:val="006E3B38"/>
    <w:rsid w:val="006E5D8B"/>
    <w:rsid w:val="006F0B22"/>
    <w:rsid w:val="006F4F63"/>
    <w:rsid w:val="006F64D6"/>
    <w:rsid w:val="006F7A88"/>
    <w:rsid w:val="006F7F96"/>
    <w:rsid w:val="00700CC3"/>
    <w:rsid w:val="00702681"/>
    <w:rsid w:val="0070324F"/>
    <w:rsid w:val="00705F0C"/>
    <w:rsid w:val="00706F4F"/>
    <w:rsid w:val="00710AE3"/>
    <w:rsid w:val="00710C80"/>
    <w:rsid w:val="007124BA"/>
    <w:rsid w:val="00717ED3"/>
    <w:rsid w:val="00720C2B"/>
    <w:rsid w:val="00721B97"/>
    <w:rsid w:val="00722347"/>
    <w:rsid w:val="00722E31"/>
    <w:rsid w:val="007239E1"/>
    <w:rsid w:val="0072596C"/>
    <w:rsid w:val="00727686"/>
    <w:rsid w:val="00730EDC"/>
    <w:rsid w:val="00733017"/>
    <w:rsid w:val="00735108"/>
    <w:rsid w:val="00735CF6"/>
    <w:rsid w:val="00744C1E"/>
    <w:rsid w:val="00744E38"/>
    <w:rsid w:val="00746DA9"/>
    <w:rsid w:val="00746EDE"/>
    <w:rsid w:val="00757C37"/>
    <w:rsid w:val="0076025D"/>
    <w:rsid w:val="007618C1"/>
    <w:rsid w:val="00762035"/>
    <w:rsid w:val="00763EC4"/>
    <w:rsid w:val="00764B40"/>
    <w:rsid w:val="00764C61"/>
    <w:rsid w:val="00764ED4"/>
    <w:rsid w:val="007676C0"/>
    <w:rsid w:val="007739FB"/>
    <w:rsid w:val="00773A69"/>
    <w:rsid w:val="00780BCA"/>
    <w:rsid w:val="00782AAD"/>
    <w:rsid w:val="00783310"/>
    <w:rsid w:val="0078463D"/>
    <w:rsid w:val="007847B5"/>
    <w:rsid w:val="00790879"/>
    <w:rsid w:val="00791F67"/>
    <w:rsid w:val="007A02EA"/>
    <w:rsid w:val="007A3663"/>
    <w:rsid w:val="007A4A6D"/>
    <w:rsid w:val="007A6097"/>
    <w:rsid w:val="007A709B"/>
    <w:rsid w:val="007A7496"/>
    <w:rsid w:val="007A7CDF"/>
    <w:rsid w:val="007B349C"/>
    <w:rsid w:val="007B5058"/>
    <w:rsid w:val="007C1A8A"/>
    <w:rsid w:val="007C1C3B"/>
    <w:rsid w:val="007C1E3E"/>
    <w:rsid w:val="007C6824"/>
    <w:rsid w:val="007C6FDE"/>
    <w:rsid w:val="007C7F74"/>
    <w:rsid w:val="007D1BCF"/>
    <w:rsid w:val="007D1EC0"/>
    <w:rsid w:val="007D2D3F"/>
    <w:rsid w:val="007D56CF"/>
    <w:rsid w:val="007D6164"/>
    <w:rsid w:val="007D75CF"/>
    <w:rsid w:val="007E0D16"/>
    <w:rsid w:val="007E1778"/>
    <w:rsid w:val="007E1BF9"/>
    <w:rsid w:val="007E1D47"/>
    <w:rsid w:val="007E1E62"/>
    <w:rsid w:val="007E2B63"/>
    <w:rsid w:val="007E2FAD"/>
    <w:rsid w:val="007E36DD"/>
    <w:rsid w:val="007E6DC5"/>
    <w:rsid w:val="007E7C8F"/>
    <w:rsid w:val="007E7F9D"/>
    <w:rsid w:val="007F1E0D"/>
    <w:rsid w:val="007F1E19"/>
    <w:rsid w:val="007F1FD3"/>
    <w:rsid w:val="007F3A68"/>
    <w:rsid w:val="007F51AE"/>
    <w:rsid w:val="008013CB"/>
    <w:rsid w:val="0080523A"/>
    <w:rsid w:val="0080525A"/>
    <w:rsid w:val="00805D65"/>
    <w:rsid w:val="008066C6"/>
    <w:rsid w:val="00811E64"/>
    <w:rsid w:val="0081202F"/>
    <w:rsid w:val="008128B4"/>
    <w:rsid w:val="00813401"/>
    <w:rsid w:val="00814213"/>
    <w:rsid w:val="00814D22"/>
    <w:rsid w:val="00815075"/>
    <w:rsid w:val="00815FFB"/>
    <w:rsid w:val="0082090C"/>
    <w:rsid w:val="008214B3"/>
    <w:rsid w:val="0082152F"/>
    <w:rsid w:val="0082218A"/>
    <w:rsid w:val="00822A45"/>
    <w:rsid w:val="0082339E"/>
    <w:rsid w:val="00825BE9"/>
    <w:rsid w:val="00827427"/>
    <w:rsid w:val="008327EA"/>
    <w:rsid w:val="008330E6"/>
    <w:rsid w:val="00837518"/>
    <w:rsid w:val="00841501"/>
    <w:rsid w:val="00844858"/>
    <w:rsid w:val="0084699F"/>
    <w:rsid w:val="00847BAC"/>
    <w:rsid w:val="00852FFA"/>
    <w:rsid w:val="0085313F"/>
    <w:rsid w:val="00856825"/>
    <w:rsid w:val="00856A73"/>
    <w:rsid w:val="00860308"/>
    <w:rsid w:val="00860362"/>
    <w:rsid w:val="00863AF2"/>
    <w:rsid w:val="00870ABA"/>
    <w:rsid w:val="00872C07"/>
    <w:rsid w:val="00873377"/>
    <w:rsid w:val="00874801"/>
    <w:rsid w:val="00875365"/>
    <w:rsid w:val="00876946"/>
    <w:rsid w:val="00877471"/>
    <w:rsid w:val="00880179"/>
    <w:rsid w:val="0088043C"/>
    <w:rsid w:val="008822EA"/>
    <w:rsid w:val="008830DD"/>
    <w:rsid w:val="00883B07"/>
    <w:rsid w:val="00886459"/>
    <w:rsid w:val="00887AC3"/>
    <w:rsid w:val="008906C9"/>
    <w:rsid w:val="00890B15"/>
    <w:rsid w:val="008920BC"/>
    <w:rsid w:val="00892CDC"/>
    <w:rsid w:val="00893E83"/>
    <w:rsid w:val="00895F7B"/>
    <w:rsid w:val="00896967"/>
    <w:rsid w:val="008A2949"/>
    <w:rsid w:val="008A4CA8"/>
    <w:rsid w:val="008B07EE"/>
    <w:rsid w:val="008B10BF"/>
    <w:rsid w:val="008B3134"/>
    <w:rsid w:val="008B3F84"/>
    <w:rsid w:val="008B44E5"/>
    <w:rsid w:val="008B4644"/>
    <w:rsid w:val="008B565D"/>
    <w:rsid w:val="008B5E73"/>
    <w:rsid w:val="008B70A7"/>
    <w:rsid w:val="008B77DF"/>
    <w:rsid w:val="008C2A22"/>
    <w:rsid w:val="008C2F2E"/>
    <w:rsid w:val="008C3F15"/>
    <w:rsid w:val="008C5738"/>
    <w:rsid w:val="008C67B7"/>
    <w:rsid w:val="008C6D25"/>
    <w:rsid w:val="008C6EC3"/>
    <w:rsid w:val="008D04F0"/>
    <w:rsid w:val="008D1396"/>
    <w:rsid w:val="008D1BF9"/>
    <w:rsid w:val="008D3185"/>
    <w:rsid w:val="008D68D5"/>
    <w:rsid w:val="008D705E"/>
    <w:rsid w:val="008E36B8"/>
    <w:rsid w:val="008E6275"/>
    <w:rsid w:val="008E65F7"/>
    <w:rsid w:val="008E7AE3"/>
    <w:rsid w:val="008F27B5"/>
    <w:rsid w:val="008F3500"/>
    <w:rsid w:val="008F3C23"/>
    <w:rsid w:val="008F48DD"/>
    <w:rsid w:val="00900FE4"/>
    <w:rsid w:val="0090275D"/>
    <w:rsid w:val="00902CD7"/>
    <w:rsid w:val="00905A18"/>
    <w:rsid w:val="009109E9"/>
    <w:rsid w:val="009111E2"/>
    <w:rsid w:val="009116EB"/>
    <w:rsid w:val="009138FF"/>
    <w:rsid w:val="00917E60"/>
    <w:rsid w:val="009226EC"/>
    <w:rsid w:val="009234F8"/>
    <w:rsid w:val="00924E3C"/>
    <w:rsid w:val="009303B4"/>
    <w:rsid w:val="00930599"/>
    <w:rsid w:val="00932E94"/>
    <w:rsid w:val="0093595E"/>
    <w:rsid w:val="00935D6C"/>
    <w:rsid w:val="00937BBA"/>
    <w:rsid w:val="009404C8"/>
    <w:rsid w:val="00942A65"/>
    <w:rsid w:val="00942E4E"/>
    <w:rsid w:val="00946285"/>
    <w:rsid w:val="00946C49"/>
    <w:rsid w:val="0094795C"/>
    <w:rsid w:val="00947D1F"/>
    <w:rsid w:val="009564C3"/>
    <w:rsid w:val="00956928"/>
    <w:rsid w:val="009612BB"/>
    <w:rsid w:val="00961E41"/>
    <w:rsid w:val="00963EC7"/>
    <w:rsid w:val="0096552E"/>
    <w:rsid w:val="00966403"/>
    <w:rsid w:val="00981359"/>
    <w:rsid w:val="009836C6"/>
    <w:rsid w:val="00984F37"/>
    <w:rsid w:val="009859A7"/>
    <w:rsid w:val="00985F42"/>
    <w:rsid w:val="0098637D"/>
    <w:rsid w:val="0098647C"/>
    <w:rsid w:val="009868D9"/>
    <w:rsid w:val="00986E5F"/>
    <w:rsid w:val="00990119"/>
    <w:rsid w:val="00995A46"/>
    <w:rsid w:val="00996700"/>
    <w:rsid w:val="00997B86"/>
    <w:rsid w:val="009A268E"/>
    <w:rsid w:val="009A29D8"/>
    <w:rsid w:val="009A44E7"/>
    <w:rsid w:val="009A674F"/>
    <w:rsid w:val="009B0DC9"/>
    <w:rsid w:val="009B0E0C"/>
    <w:rsid w:val="009B107F"/>
    <w:rsid w:val="009B1412"/>
    <w:rsid w:val="009B2262"/>
    <w:rsid w:val="009B27AA"/>
    <w:rsid w:val="009B2935"/>
    <w:rsid w:val="009B6593"/>
    <w:rsid w:val="009C1D79"/>
    <w:rsid w:val="009C1D8B"/>
    <w:rsid w:val="009C24C5"/>
    <w:rsid w:val="009C6C29"/>
    <w:rsid w:val="009D1242"/>
    <w:rsid w:val="009D12E5"/>
    <w:rsid w:val="009D2550"/>
    <w:rsid w:val="009D2E15"/>
    <w:rsid w:val="009D5BC5"/>
    <w:rsid w:val="009E267B"/>
    <w:rsid w:val="009E4B05"/>
    <w:rsid w:val="009E6037"/>
    <w:rsid w:val="009E61B7"/>
    <w:rsid w:val="009F0B3B"/>
    <w:rsid w:val="009F0DCD"/>
    <w:rsid w:val="009F3B16"/>
    <w:rsid w:val="009F50D2"/>
    <w:rsid w:val="00A02856"/>
    <w:rsid w:val="00A052E7"/>
    <w:rsid w:val="00A06974"/>
    <w:rsid w:val="00A10F33"/>
    <w:rsid w:val="00A1102C"/>
    <w:rsid w:val="00A11637"/>
    <w:rsid w:val="00A11AD5"/>
    <w:rsid w:val="00A125C5"/>
    <w:rsid w:val="00A15066"/>
    <w:rsid w:val="00A173A1"/>
    <w:rsid w:val="00A22000"/>
    <w:rsid w:val="00A223B2"/>
    <w:rsid w:val="00A26368"/>
    <w:rsid w:val="00A267D3"/>
    <w:rsid w:val="00A26FF1"/>
    <w:rsid w:val="00A31F8D"/>
    <w:rsid w:val="00A336EF"/>
    <w:rsid w:val="00A35AE5"/>
    <w:rsid w:val="00A4165F"/>
    <w:rsid w:val="00A42808"/>
    <w:rsid w:val="00A47112"/>
    <w:rsid w:val="00A5039D"/>
    <w:rsid w:val="00A5063D"/>
    <w:rsid w:val="00A50910"/>
    <w:rsid w:val="00A522E9"/>
    <w:rsid w:val="00A52639"/>
    <w:rsid w:val="00A53B0F"/>
    <w:rsid w:val="00A53F19"/>
    <w:rsid w:val="00A54E87"/>
    <w:rsid w:val="00A54FAC"/>
    <w:rsid w:val="00A56EC2"/>
    <w:rsid w:val="00A6109D"/>
    <w:rsid w:val="00A61D43"/>
    <w:rsid w:val="00A639DC"/>
    <w:rsid w:val="00A63A9B"/>
    <w:rsid w:val="00A6495C"/>
    <w:rsid w:val="00A65859"/>
    <w:rsid w:val="00A65EE7"/>
    <w:rsid w:val="00A663A0"/>
    <w:rsid w:val="00A70133"/>
    <w:rsid w:val="00A741DF"/>
    <w:rsid w:val="00A7435A"/>
    <w:rsid w:val="00A75496"/>
    <w:rsid w:val="00A7565A"/>
    <w:rsid w:val="00A8009F"/>
    <w:rsid w:val="00A813C5"/>
    <w:rsid w:val="00A81B40"/>
    <w:rsid w:val="00A85DA1"/>
    <w:rsid w:val="00A91507"/>
    <w:rsid w:val="00A93E6E"/>
    <w:rsid w:val="00A949D0"/>
    <w:rsid w:val="00A975E0"/>
    <w:rsid w:val="00A97C54"/>
    <w:rsid w:val="00AA14E3"/>
    <w:rsid w:val="00AA19EC"/>
    <w:rsid w:val="00AA1B65"/>
    <w:rsid w:val="00AA4002"/>
    <w:rsid w:val="00AA4D34"/>
    <w:rsid w:val="00AA738F"/>
    <w:rsid w:val="00AB026A"/>
    <w:rsid w:val="00AB3817"/>
    <w:rsid w:val="00AC086A"/>
    <w:rsid w:val="00AC3C4D"/>
    <w:rsid w:val="00AC3CB2"/>
    <w:rsid w:val="00AC4022"/>
    <w:rsid w:val="00AC66B4"/>
    <w:rsid w:val="00AD0551"/>
    <w:rsid w:val="00AD19C0"/>
    <w:rsid w:val="00AD27A7"/>
    <w:rsid w:val="00AD49CE"/>
    <w:rsid w:val="00AD61B7"/>
    <w:rsid w:val="00AE03AF"/>
    <w:rsid w:val="00AE30D2"/>
    <w:rsid w:val="00AE3E18"/>
    <w:rsid w:val="00AE4EE3"/>
    <w:rsid w:val="00AE57E2"/>
    <w:rsid w:val="00AE776A"/>
    <w:rsid w:val="00AF25FF"/>
    <w:rsid w:val="00AF372E"/>
    <w:rsid w:val="00AF5D29"/>
    <w:rsid w:val="00AF5DF2"/>
    <w:rsid w:val="00B024F7"/>
    <w:rsid w:val="00B02545"/>
    <w:rsid w:val="00B03033"/>
    <w:rsid w:val="00B03804"/>
    <w:rsid w:val="00B04E6C"/>
    <w:rsid w:val="00B05914"/>
    <w:rsid w:val="00B06B9A"/>
    <w:rsid w:val="00B06E9B"/>
    <w:rsid w:val="00B1225B"/>
    <w:rsid w:val="00B1398F"/>
    <w:rsid w:val="00B15F32"/>
    <w:rsid w:val="00B17098"/>
    <w:rsid w:val="00B17141"/>
    <w:rsid w:val="00B22985"/>
    <w:rsid w:val="00B22B61"/>
    <w:rsid w:val="00B23FCE"/>
    <w:rsid w:val="00B25C9B"/>
    <w:rsid w:val="00B26082"/>
    <w:rsid w:val="00B31575"/>
    <w:rsid w:val="00B31D00"/>
    <w:rsid w:val="00B32646"/>
    <w:rsid w:val="00B35EAC"/>
    <w:rsid w:val="00B36CBF"/>
    <w:rsid w:val="00B36F5B"/>
    <w:rsid w:val="00B41E63"/>
    <w:rsid w:val="00B43657"/>
    <w:rsid w:val="00B43787"/>
    <w:rsid w:val="00B44C8C"/>
    <w:rsid w:val="00B47283"/>
    <w:rsid w:val="00B47445"/>
    <w:rsid w:val="00B4771A"/>
    <w:rsid w:val="00B515AC"/>
    <w:rsid w:val="00B53505"/>
    <w:rsid w:val="00B55C95"/>
    <w:rsid w:val="00B571ED"/>
    <w:rsid w:val="00B61887"/>
    <w:rsid w:val="00B65750"/>
    <w:rsid w:val="00B66214"/>
    <w:rsid w:val="00B71968"/>
    <w:rsid w:val="00B72D1F"/>
    <w:rsid w:val="00B7373B"/>
    <w:rsid w:val="00B73A11"/>
    <w:rsid w:val="00B74A2E"/>
    <w:rsid w:val="00B756A5"/>
    <w:rsid w:val="00B75EA1"/>
    <w:rsid w:val="00B76818"/>
    <w:rsid w:val="00B77409"/>
    <w:rsid w:val="00B821C0"/>
    <w:rsid w:val="00B8289B"/>
    <w:rsid w:val="00B83581"/>
    <w:rsid w:val="00B83E6E"/>
    <w:rsid w:val="00B8547D"/>
    <w:rsid w:val="00B86C94"/>
    <w:rsid w:val="00B91A27"/>
    <w:rsid w:val="00B938F6"/>
    <w:rsid w:val="00B94E40"/>
    <w:rsid w:val="00BA0B65"/>
    <w:rsid w:val="00BA1C09"/>
    <w:rsid w:val="00BA1D60"/>
    <w:rsid w:val="00BA2C7F"/>
    <w:rsid w:val="00BA47FD"/>
    <w:rsid w:val="00BA4D90"/>
    <w:rsid w:val="00BB01A9"/>
    <w:rsid w:val="00BB1FA0"/>
    <w:rsid w:val="00BB2A08"/>
    <w:rsid w:val="00BB3E88"/>
    <w:rsid w:val="00BB717E"/>
    <w:rsid w:val="00BB77B0"/>
    <w:rsid w:val="00BC23FF"/>
    <w:rsid w:val="00BC3E1C"/>
    <w:rsid w:val="00BC3FA6"/>
    <w:rsid w:val="00BC5877"/>
    <w:rsid w:val="00BC7587"/>
    <w:rsid w:val="00BD1D27"/>
    <w:rsid w:val="00BD2326"/>
    <w:rsid w:val="00BD4B72"/>
    <w:rsid w:val="00BD53BD"/>
    <w:rsid w:val="00BE42F8"/>
    <w:rsid w:val="00BE4768"/>
    <w:rsid w:val="00BE6B67"/>
    <w:rsid w:val="00BF52D0"/>
    <w:rsid w:val="00BF68BF"/>
    <w:rsid w:val="00C0064D"/>
    <w:rsid w:val="00C01A63"/>
    <w:rsid w:val="00C01D3B"/>
    <w:rsid w:val="00C07253"/>
    <w:rsid w:val="00C075CA"/>
    <w:rsid w:val="00C12B34"/>
    <w:rsid w:val="00C132A2"/>
    <w:rsid w:val="00C2014D"/>
    <w:rsid w:val="00C20C88"/>
    <w:rsid w:val="00C20CAE"/>
    <w:rsid w:val="00C21DC0"/>
    <w:rsid w:val="00C22B44"/>
    <w:rsid w:val="00C244E6"/>
    <w:rsid w:val="00C250D5"/>
    <w:rsid w:val="00C26648"/>
    <w:rsid w:val="00C26820"/>
    <w:rsid w:val="00C30760"/>
    <w:rsid w:val="00C321FE"/>
    <w:rsid w:val="00C337A6"/>
    <w:rsid w:val="00C3464B"/>
    <w:rsid w:val="00C35E13"/>
    <w:rsid w:val="00C41F78"/>
    <w:rsid w:val="00C421C1"/>
    <w:rsid w:val="00C4435F"/>
    <w:rsid w:val="00C45759"/>
    <w:rsid w:val="00C45B80"/>
    <w:rsid w:val="00C46FAA"/>
    <w:rsid w:val="00C4725D"/>
    <w:rsid w:val="00C503BF"/>
    <w:rsid w:val="00C51DFD"/>
    <w:rsid w:val="00C52AF0"/>
    <w:rsid w:val="00C5694E"/>
    <w:rsid w:val="00C57808"/>
    <w:rsid w:val="00C6160D"/>
    <w:rsid w:val="00C630E1"/>
    <w:rsid w:val="00C6396B"/>
    <w:rsid w:val="00C67E93"/>
    <w:rsid w:val="00C722D5"/>
    <w:rsid w:val="00C72362"/>
    <w:rsid w:val="00C751C7"/>
    <w:rsid w:val="00C76612"/>
    <w:rsid w:val="00C82E25"/>
    <w:rsid w:val="00C84FD6"/>
    <w:rsid w:val="00C869C9"/>
    <w:rsid w:val="00C870A7"/>
    <w:rsid w:val="00C871F9"/>
    <w:rsid w:val="00C91C35"/>
    <w:rsid w:val="00C92898"/>
    <w:rsid w:val="00C944F1"/>
    <w:rsid w:val="00C96B12"/>
    <w:rsid w:val="00CA096D"/>
    <w:rsid w:val="00CA1AC1"/>
    <w:rsid w:val="00CA264C"/>
    <w:rsid w:val="00CA3C9A"/>
    <w:rsid w:val="00CA57E8"/>
    <w:rsid w:val="00CA583C"/>
    <w:rsid w:val="00CA6847"/>
    <w:rsid w:val="00CB0A31"/>
    <w:rsid w:val="00CB0C98"/>
    <w:rsid w:val="00CB307D"/>
    <w:rsid w:val="00CB3CFB"/>
    <w:rsid w:val="00CC0062"/>
    <w:rsid w:val="00CC0B48"/>
    <w:rsid w:val="00CC0BBA"/>
    <w:rsid w:val="00CC1CE6"/>
    <w:rsid w:val="00CC394A"/>
    <w:rsid w:val="00CC3AFB"/>
    <w:rsid w:val="00CC3B7F"/>
    <w:rsid w:val="00CC3B97"/>
    <w:rsid w:val="00CC3CE8"/>
    <w:rsid w:val="00CC4F46"/>
    <w:rsid w:val="00CC7308"/>
    <w:rsid w:val="00CD3C52"/>
    <w:rsid w:val="00CD5078"/>
    <w:rsid w:val="00CD63B2"/>
    <w:rsid w:val="00CE196E"/>
    <w:rsid w:val="00CE4D37"/>
    <w:rsid w:val="00CE7514"/>
    <w:rsid w:val="00CE7766"/>
    <w:rsid w:val="00CF704B"/>
    <w:rsid w:val="00CF78CB"/>
    <w:rsid w:val="00D0004D"/>
    <w:rsid w:val="00D025CB"/>
    <w:rsid w:val="00D07187"/>
    <w:rsid w:val="00D105C2"/>
    <w:rsid w:val="00D10D3B"/>
    <w:rsid w:val="00D11569"/>
    <w:rsid w:val="00D116BD"/>
    <w:rsid w:val="00D11714"/>
    <w:rsid w:val="00D13754"/>
    <w:rsid w:val="00D1384C"/>
    <w:rsid w:val="00D17A6D"/>
    <w:rsid w:val="00D248DE"/>
    <w:rsid w:val="00D26261"/>
    <w:rsid w:val="00D30A3C"/>
    <w:rsid w:val="00D31518"/>
    <w:rsid w:val="00D36CC0"/>
    <w:rsid w:val="00D36E88"/>
    <w:rsid w:val="00D37E71"/>
    <w:rsid w:val="00D41CB9"/>
    <w:rsid w:val="00D43295"/>
    <w:rsid w:val="00D451CC"/>
    <w:rsid w:val="00D45214"/>
    <w:rsid w:val="00D471D0"/>
    <w:rsid w:val="00D477DD"/>
    <w:rsid w:val="00D53A94"/>
    <w:rsid w:val="00D56EE3"/>
    <w:rsid w:val="00D62426"/>
    <w:rsid w:val="00D629CD"/>
    <w:rsid w:val="00D63B32"/>
    <w:rsid w:val="00D66242"/>
    <w:rsid w:val="00D67C3A"/>
    <w:rsid w:val="00D80AD5"/>
    <w:rsid w:val="00D81184"/>
    <w:rsid w:val="00D82873"/>
    <w:rsid w:val="00D83B30"/>
    <w:rsid w:val="00D8542D"/>
    <w:rsid w:val="00D85B56"/>
    <w:rsid w:val="00D85E75"/>
    <w:rsid w:val="00D866DE"/>
    <w:rsid w:val="00D9583A"/>
    <w:rsid w:val="00DA3ED1"/>
    <w:rsid w:val="00DA3FE1"/>
    <w:rsid w:val="00DA4B0B"/>
    <w:rsid w:val="00DA5DD5"/>
    <w:rsid w:val="00DA70EE"/>
    <w:rsid w:val="00DC0C88"/>
    <w:rsid w:val="00DC49DB"/>
    <w:rsid w:val="00DC54F9"/>
    <w:rsid w:val="00DC5BCA"/>
    <w:rsid w:val="00DC6A71"/>
    <w:rsid w:val="00DC71E8"/>
    <w:rsid w:val="00DD147F"/>
    <w:rsid w:val="00DD4A13"/>
    <w:rsid w:val="00DD5B2F"/>
    <w:rsid w:val="00DD7562"/>
    <w:rsid w:val="00DE17A5"/>
    <w:rsid w:val="00DE29A2"/>
    <w:rsid w:val="00DE346A"/>
    <w:rsid w:val="00DE4D49"/>
    <w:rsid w:val="00DE5B46"/>
    <w:rsid w:val="00DE68DA"/>
    <w:rsid w:val="00DE771A"/>
    <w:rsid w:val="00DE7E3D"/>
    <w:rsid w:val="00DF04C1"/>
    <w:rsid w:val="00DF0BB6"/>
    <w:rsid w:val="00DF2B30"/>
    <w:rsid w:val="00DF4E18"/>
    <w:rsid w:val="00DF5550"/>
    <w:rsid w:val="00E00B84"/>
    <w:rsid w:val="00E01029"/>
    <w:rsid w:val="00E01986"/>
    <w:rsid w:val="00E0357D"/>
    <w:rsid w:val="00E03D4F"/>
    <w:rsid w:val="00E0595B"/>
    <w:rsid w:val="00E074C7"/>
    <w:rsid w:val="00E0785F"/>
    <w:rsid w:val="00E11595"/>
    <w:rsid w:val="00E11D44"/>
    <w:rsid w:val="00E17B39"/>
    <w:rsid w:val="00E22A8C"/>
    <w:rsid w:val="00E24EC2"/>
    <w:rsid w:val="00E2682F"/>
    <w:rsid w:val="00E27F2B"/>
    <w:rsid w:val="00E30E86"/>
    <w:rsid w:val="00E32363"/>
    <w:rsid w:val="00E32624"/>
    <w:rsid w:val="00E3390A"/>
    <w:rsid w:val="00E376DB"/>
    <w:rsid w:val="00E37F8B"/>
    <w:rsid w:val="00E447D6"/>
    <w:rsid w:val="00E44978"/>
    <w:rsid w:val="00E45178"/>
    <w:rsid w:val="00E45E0E"/>
    <w:rsid w:val="00E50CB5"/>
    <w:rsid w:val="00E548A3"/>
    <w:rsid w:val="00E558DD"/>
    <w:rsid w:val="00E568E5"/>
    <w:rsid w:val="00E616C0"/>
    <w:rsid w:val="00E6249A"/>
    <w:rsid w:val="00E65113"/>
    <w:rsid w:val="00E65759"/>
    <w:rsid w:val="00E657F9"/>
    <w:rsid w:val="00E7150D"/>
    <w:rsid w:val="00E71AA7"/>
    <w:rsid w:val="00E74344"/>
    <w:rsid w:val="00E7575B"/>
    <w:rsid w:val="00E76062"/>
    <w:rsid w:val="00E80DF1"/>
    <w:rsid w:val="00E81E0F"/>
    <w:rsid w:val="00E841B3"/>
    <w:rsid w:val="00E84215"/>
    <w:rsid w:val="00E844D9"/>
    <w:rsid w:val="00E84E16"/>
    <w:rsid w:val="00E85AD8"/>
    <w:rsid w:val="00E87B02"/>
    <w:rsid w:val="00E91654"/>
    <w:rsid w:val="00E91C48"/>
    <w:rsid w:val="00E9218F"/>
    <w:rsid w:val="00E925B7"/>
    <w:rsid w:val="00E926B8"/>
    <w:rsid w:val="00E93620"/>
    <w:rsid w:val="00E954D3"/>
    <w:rsid w:val="00E957E3"/>
    <w:rsid w:val="00E962AD"/>
    <w:rsid w:val="00EA1E0D"/>
    <w:rsid w:val="00EA361F"/>
    <w:rsid w:val="00EA7064"/>
    <w:rsid w:val="00EB1C8C"/>
    <w:rsid w:val="00EB230A"/>
    <w:rsid w:val="00EB3645"/>
    <w:rsid w:val="00EB4127"/>
    <w:rsid w:val="00EB548B"/>
    <w:rsid w:val="00EB54F7"/>
    <w:rsid w:val="00EB7A72"/>
    <w:rsid w:val="00EC0549"/>
    <w:rsid w:val="00EC4F26"/>
    <w:rsid w:val="00EC5A73"/>
    <w:rsid w:val="00EC5A95"/>
    <w:rsid w:val="00EC64EB"/>
    <w:rsid w:val="00ED0B81"/>
    <w:rsid w:val="00ED316F"/>
    <w:rsid w:val="00ED43A3"/>
    <w:rsid w:val="00ED5C3A"/>
    <w:rsid w:val="00ED5F76"/>
    <w:rsid w:val="00ED63B0"/>
    <w:rsid w:val="00ED6763"/>
    <w:rsid w:val="00ED6D86"/>
    <w:rsid w:val="00ED70C5"/>
    <w:rsid w:val="00EE1810"/>
    <w:rsid w:val="00EE1DDD"/>
    <w:rsid w:val="00EE27CF"/>
    <w:rsid w:val="00EE796D"/>
    <w:rsid w:val="00EF2152"/>
    <w:rsid w:val="00EF4854"/>
    <w:rsid w:val="00EF4CBB"/>
    <w:rsid w:val="00EF7E59"/>
    <w:rsid w:val="00F00F62"/>
    <w:rsid w:val="00F0215F"/>
    <w:rsid w:val="00F02861"/>
    <w:rsid w:val="00F03963"/>
    <w:rsid w:val="00F07735"/>
    <w:rsid w:val="00F11258"/>
    <w:rsid w:val="00F1578F"/>
    <w:rsid w:val="00F203B3"/>
    <w:rsid w:val="00F20AB6"/>
    <w:rsid w:val="00F23598"/>
    <w:rsid w:val="00F23770"/>
    <w:rsid w:val="00F23D07"/>
    <w:rsid w:val="00F240BB"/>
    <w:rsid w:val="00F3155E"/>
    <w:rsid w:val="00F33673"/>
    <w:rsid w:val="00F34C22"/>
    <w:rsid w:val="00F41AEA"/>
    <w:rsid w:val="00F46724"/>
    <w:rsid w:val="00F51E77"/>
    <w:rsid w:val="00F55428"/>
    <w:rsid w:val="00F56810"/>
    <w:rsid w:val="00F57E0E"/>
    <w:rsid w:val="00F57FED"/>
    <w:rsid w:val="00F64FEC"/>
    <w:rsid w:val="00F70C88"/>
    <w:rsid w:val="00F71818"/>
    <w:rsid w:val="00F720F0"/>
    <w:rsid w:val="00F72444"/>
    <w:rsid w:val="00F74168"/>
    <w:rsid w:val="00F74297"/>
    <w:rsid w:val="00F80353"/>
    <w:rsid w:val="00F82480"/>
    <w:rsid w:val="00F82A80"/>
    <w:rsid w:val="00F8313A"/>
    <w:rsid w:val="00F86F56"/>
    <w:rsid w:val="00F923B1"/>
    <w:rsid w:val="00F93982"/>
    <w:rsid w:val="00F94E02"/>
    <w:rsid w:val="00F954AF"/>
    <w:rsid w:val="00F959C7"/>
    <w:rsid w:val="00F9651E"/>
    <w:rsid w:val="00F97B2B"/>
    <w:rsid w:val="00FA1BBB"/>
    <w:rsid w:val="00FA3B2A"/>
    <w:rsid w:val="00FA4B44"/>
    <w:rsid w:val="00FA7114"/>
    <w:rsid w:val="00FB3B21"/>
    <w:rsid w:val="00FB5575"/>
    <w:rsid w:val="00FB6D4D"/>
    <w:rsid w:val="00FC0CF0"/>
    <w:rsid w:val="00FC2034"/>
    <w:rsid w:val="00FC410C"/>
    <w:rsid w:val="00FC67C6"/>
    <w:rsid w:val="00FC7EF1"/>
    <w:rsid w:val="00FD02FF"/>
    <w:rsid w:val="00FD109C"/>
    <w:rsid w:val="00FD2572"/>
    <w:rsid w:val="00FD28DA"/>
    <w:rsid w:val="00FD3538"/>
    <w:rsid w:val="00FD416E"/>
    <w:rsid w:val="00FD4AF0"/>
    <w:rsid w:val="00FD5E64"/>
    <w:rsid w:val="00FD6532"/>
    <w:rsid w:val="00FD666E"/>
    <w:rsid w:val="00FE0609"/>
    <w:rsid w:val="00FE4502"/>
    <w:rsid w:val="00FE6686"/>
    <w:rsid w:val="00FE6762"/>
    <w:rsid w:val="00FF0579"/>
    <w:rsid w:val="00FF4423"/>
    <w:rsid w:val="00FF646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1569F378"/>
  <w15:chartTrackingRefBased/>
  <w15:docId w15:val="{6ED62C35-4783-416D-967B-239FAF1DE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APEK-1"/>
    <w:basedOn w:val="Navaden"/>
    <w:next w:val="Navaden"/>
    <w:link w:val="Naslov1Znak"/>
    <w:autoRedefine/>
    <w:uiPriority w:val="9"/>
    <w:qFormat/>
    <w:rsid w:val="00702681"/>
    <w:pPr>
      <w:keepNext/>
      <w:spacing w:line="240" w:lineRule="auto"/>
      <w:jc w:val="both"/>
      <w:outlineLvl w:val="0"/>
    </w:pPr>
    <w:rPr>
      <w:rFonts w:cs="Arial"/>
      <w:b/>
      <w:kern w:val="32"/>
      <w:szCs w:val="20"/>
      <w:lang w:val="sl-SI" w:eastAsia="sl-SI"/>
    </w:rPr>
  </w:style>
  <w:style w:type="paragraph" w:styleId="Naslov2">
    <w:name w:val="heading 2"/>
    <w:aliases w:val="APEK-2"/>
    <w:basedOn w:val="Navaden"/>
    <w:next w:val="Navaden"/>
    <w:link w:val="Naslov2Znak"/>
    <w:unhideWhenUsed/>
    <w:qFormat/>
    <w:rsid w:val="00FA4B4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3">
    <w:name w:val="heading 3"/>
    <w:aliases w:val="APEK-3"/>
    <w:next w:val="Navaden"/>
    <w:link w:val="Naslov3Znak"/>
    <w:qFormat/>
    <w:rsid w:val="00FA4B44"/>
    <w:pPr>
      <w:jc w:val="both"/>
      <w:outlineLvl w:val="2"/>
    </w:pPr>
    <w:rPr>
      <w:rFonts w:ascii="Arial" w:hAnsi="Arial" w:cs="Arial"/>
      <w:b/>
      <w:bCs/>
      <w:sz w:val="22"/>
      <w:szCs w:val="26"/>
    </w:rPr>
  </w:style>
  <w:style w:type="paragraph" w:styleId="Naslov4">
    <w:name w:val="heading 4"/>
    <w:basedOn w:val="Navaden"/>
    <w:next w:val="Navaden"/>
    <w:link w:val="Naslov4Znak"/>
    <w:qFormat/>
    <w:rsid w:val="00FA4B44"/>
    <w:pPr>
      <w:keepNext/>
      <w:tabs>
        <w:tab w:val="num" w:pos="864"/>
      </w:tabs>
      <w:spacing w:before="240" w:after="60" w:line="240" w:lineRule="auto"/>
      <w:ind w:left="864" w:hanging="864"/>
      <w:jc w:val="both"/>
      <w:outlineLvl w:val="3"/>
    </w:pPr>
    <w:rPr>
      <w:b/>
      <w:sz w:val="24"/>
      <w:szCs w:val="20"/>
      <w:lang w:val="sl-SI"/>
    </w:rPr>
  </w:style>
  <w:style w:type="paragraph" w:styleId="Naslov5">
    <w:name w:val="heading 5"/>
    <w:basedOn w:val="Navaden"/>
    <w:next w:val="Navaden"/>
    <w:link w:val="Naslov5Znak"/>
    <w:unhideWhenUsed/>
    <w:qFormat/>
    <w:rsid w:val="00863AF2"/>
    <w:pPr>
      <w:spacing w:before="240" w:after="60"/>
      <w:outlineLvl w:val="4"/>
    </w:pPr>
    <w:rPr>
      <w:rFonts w:ascii="Calibri" w:hAnsi="Calibri"/>
      <w:b/>
      <w:bCs/>
      <w:i/>
      <w:iCs/>
      <w:sz w:val="26"/>
      <w:szCs w:val="26"/>
    </w:rPr>
  </w:style>
  <w:style w:type="paragraph" w:styleId="Naslov6">
    <w:name w:val="heading 6"/>
    <w:basedOn w:val="Navaden"/>
    <w:next w:val="Navaden"/>
    <w:link w:val="Naslov6Znak"/>
    <w:qFormat/>
    <w:rsid w:val="00FA4B44"/>
    <w:pPr>
      <w:tabs>
        <w:tab w:val="num" w:pos="1152"/>
      </w:tabs>
      <w:spacing w:before="240" w:after="60" w:line="240" w:lineRule="auto"/>
      <w:ind w:left="1152" w:hanging="1152"/>
      <w:jc w:val="both"/>
      <w:outlineLvl w:val="5"/>
    </w:pPr>
    <w:rPr>
      <w:rFonts w:ascii="Times New Roman" w:hAnsi="Times New Roman"/>
      <w:i/>
      <w:sz w:val="22"/>
      <w:szCs w:val="20"/>
      <w:lang w:val="sl-SI"/>
    </w:rPr>
  </w:style>
  <w:style w:type="paragraph" w:styleId="Naslov7">
    <w:name w:val="heading 7"/>
    <w:basedOn w:val="Navaden"/>
    <w:next w:val="Navaden"/>
    <w:link w:val="Naslov7Znak"/>
    <w:qFormat/>
    <w:rsid w:val="00FA4B44"/>
    <w:pPr>
      <w:tabs>
        <w:tab w:val="num" w:pos="1296"/>
      </w:tabs>
      <w:spacing w:before="240" w:after="60" w:line="240" w:lineRule="auto"/>
      <w:ind w:left="1296" w:hanging="1296"/>
      <w:jc w:val="both"/>
      <w:outlineLvl w:val="6"/>
    </w:pPr>
    <w:rPr>
      <w:szCs w:val="20"/>
      <w:lang w:val="sl-SI"/>
    </w:rPr>
  </w:style>
  <w:style w:type="paragraph" w:styleId="Naslov8">
    <w:name w:val="heading 8"/>
    <w:basedOn w:val="Navaden"/>
    <w:next w:val="Navaden"/>
    <w:link w:val="Naslov8Znak"/>
    <w:qFormat/>
    <w:rsid w:val="00FA4B44"/>
    <w:pPr>
      <w:tabs>
        <w:tab w:val="num" w:pos="1440"/>
      </w:tabs>
      <w:spacing w:before="240" w:after="60" w:line="240" w:lineRule="auto"/>
      <w:ind w:left="1440" w:hanging="1440"/>
      <w:jc w:val="both"/>
      <w:outlineLvl w:val="7"/>
    </w:pPr>
    <w:rPr>
      <w:i/>
      <w:szCs w:val="20"/>
      <w:lang w:val="sl-SI"/>
    </w:rPr>
  </w:style>
  <w:style w:type="paragraph" w:styleId="Naslov9">
    <w:name w:val="heading 9"/>
    <w:basedOn w:val="Navaden"/>
    <w:next w:val="Navaden"/>
    <w:link w:val="Naslov9Znak"/>
    <w:qFormat/>
    <w:rsid w:val="00FA4B44"/>
    <w:pPr>
      <w:tabs>
        <w:tab w:val="num" w:pos="1584"/>
      </w:tabs>
      <w:spacing w:before="240" w:after="60" w:line="240" w:lineRule="auto"/>
      <w:ind w:left="1584" w:hanging="1584"/>
      <w:jc w:val="both"/>
      <w:outlineLvl w:val="8"/>
    </w:pPr>
    <w:rPr>
      <w:b/>
      <w:i/>
      <w:sz w:val="18"/>
      <w:szCs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
    <w:basedOn w:val="Navaden"/>
    <w:link w:val="GlavaZnak"/>
    <w:uiPriority w:val="99"/>
    <w:rsid w:val="00AD2B87"/>
    <w:pPr>
      <w:tabs>
        <w:tab w:val="center" w:pos="4320"/>
        <w:tab w:val="right" w:pos="8640"/>
      </w:tabs>
    </w:pPr>
  </w:style>
  <w:style w:type="paragraph" w:styleId="Noga">
    <w:name w:val="footer"/>
    <w:aliases w:val="APEK-5"/>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APEK-4 Znak"/>
    <w:link w:val="Glava"/>
    <w:uiPriority w:val="99"/>
    <w:rsid w:val="00B03033"/>
    <w:rPr>
      <w:rFonts w:ascii="Arial" w:hAnsi="Arial"/>
      <w:szCs w:val="24"/>
      <w:lang w:val="en-US" w:eastAsia="en-US"/>
    </w:rPr>
  </w:style>
  <w:style w:type="paragraph" w:customStyle="1" w:styleId="ListParagraph1">
    <w:name w:val="List Paragraph1"/>
    <w:basedOn w:val="Navaden"/>
    <w:link w:val="ListParagraphChar"/>
    <w:uiPriority w:val="34"/>
    <w:qFormat/>
    <w:rsid w:val="008D705E"/>
    <w:pPr>
      <w:spacing w:line="276" w:lineRule="auto"/>
      <w:ind w:left="720"/>
    </w:pPr>
    <w:rPr>
      <w:rFonts w:ascii="Calibri" w:eastAsia="Calibri" w:hAnsi="Calibri"/>
      <w:szCs w:val="20"/>
      <w:lang w:val="x-none"/>
    </w:rPr>
  </w:style>
  <w:style w:type="character" w:customStyle="1" w:styleId="ListParagraphChar">
    <w:name w:val="List Paragraph Char"/>
    <w:link w:val="ListParagraph1"/>
    <w:uiPriority w:val="34"/>
    <w:locked/>
    <w:rsid w:val="008D705E"/>
    <w:rPr>
      <w:rFonts w:ascii="Calibri" w:eastAsia="Calibri" w:hAnsi="Calibri"/>
      <w:lang w:eastAsia="en-US"/>
    </w:rPr>
  </w:style>
  <w:style w:type="character" w:customStyle="1" w:styleId="OdstavekseznamaZnak">
    <w:name w:val="Odstavek seznama Znak"/>
    <w:aliases w:val="za tekst Znak,Označevanje Znak,List Paragraph2 Znak,Bullet OFM Znak,List Paragraph (numbered (a)) Znak,Bullet List Znak,Primus H 3 Znak,lp1 Znak,Use Case List Paragraph Char Znak,Citation List Znak,Use Case List Paragraph Znak"/>
    <w:link w:val="Odstavekseznama"/>
    <w:uiPriority w:val="34"/>
    <w:qFormat/>
    <w:locked/>
    <w:rsid w:val="003B1761"/>
    <w:rPr>
      <w:rFonts w:ascii="Arial" w:hAnsi="Arial" w:cs="Arial"/>
      <w:szCs w:val="24"/>
      <w:lang w:val="en-US"/>
    </w:rPr>
  </w:style>
  <w:style w:type="paragraph" w:styleId="Odstavekseznama">
    <w:name w:val="List Paragraph"/>
    <w:aliases w:val="za tekst,Označevanje,List Paragraph2,Bullet OFM,List Paragraph (numbered (a)),Bullet List,Primus H 3,lp1,Use Case List Paragraph Char,Citation List,Use Case List Paragraph,555,AB List 1,Prgrf_UNDP,Bullet Points,Odstavek seznama_IP,K1,3"/>
    <w:basedOn w:val="Navaden"/>
    <w:link w:val="OdstavekseznamaZnak"/>
    <w:uiPriority w:val="34"/>
    <w:qFormat/>
    <w:rsid w:val="003B1761"/>
    <w:pPr>
      <w:spacing w:line="260" w:lineRule="exact"/>
      <w:ind w:left="708"/>
    </w:pPr>
    <w:rPr>
      <w:rFonts w:cs="Arial"/>
      <w:lang w:eastAsia="sl-SI"/>
    </w:rPr>
  </w:style>
  <w:style w:type="paragraph" w:customStyle="1" w:styleId="align-justify">
    <w:name w:val="align-justify"/>
    <w:basedOn w:val="Navaden"/>
    <w:rsid w:val="001D1041"/>
    <w:pPr>
      <w:spacing w:before="100" w:beforeAutospacing="1" w:after="100" w:afterAutospacing="1" w:line="240" w:lineRule="auto"/>
    </w:pPr>
    <w:rPr>
      <w:rFonts w:ascii="Times New Roman" w:hAnsi="Times New Roman"/>
      <w:sz w:val="24"/>
      <w:lang w:val="sl-SI" w:eastAsia="sl-SI"/>
    </w:rPr>
  </w:style>
  <w:style w:type="character" w:styleId="Krepko">
    <w:name w:val="Strong"/>
    <w:qFormat/>
    <w:rsid w:val="001D1041"/>
    <w:rPr>
      <w:b/>
      <w:bCs/>
    </w:rPr>
  </w:style>
  <w:style w:type="paragraph" w:styleId="Navadensplet">
    <w:name w:val="Normal (Web)"/>
    <w:basedOn w:val="Navaden"/>
    <w:unhideWhenUsed/>
    <w:rsid w:val="001D1041"/>
    <w:pPr>
      <w:spacing w:before="100" w:beforeAutospacing="1" w:after="100" w:afterAutospacing="1" w:line="240" w:lineRule="auto"/>
    </w:pPr>
    <w:rPr>
      <w:rFonts w:ascii="Times New Roman" w:hAnsi="Times New Roman"/>
      <w:sz w:val="24"/>
      <w:lang w:val="sl-SI" w:eastAsia="sl-SI"/>
    </w:rPr>
  </w:style>
  <w:style w:type="paragraph" w:customStyle="1" w:styleId="Odstavekseznama1">
    <w:name w:val="Odstavek seznama1"/>
    <w:basedOn w:val="Navaden"/>
    <w:qFormat/>
    <w:rsid w:val="00F07735"/>
    <w:pPr>
      <w:spacing w:after="200" w:line="276" w:lineRule="auto"/>
      <w:ind w:left="720"/>
      <w:contextualSpacing/>
    </w:pPr>
    <w:rPr>
      <w:rFonts w:ascii="Calibri" w:hAnsi="Calibri"/>
      <w:sz w:val="22"/>
      <w:szCs w:val="22"/>
      <w:lang w:val="sl-SI"/>
    </w:rPr>
  </w:style>
  <w:style w:type="paragraph" w:styleId="Sprotnaopomba-besedilo">
    <w:name w:val="footnote text"/>
    <w:basedOn w:val="Navaden"/>
    <w:link w:val="Sprotnaopomba-besediloZnak"/>
    <w:uiPriority w:val="99"/>
    <w:unhideWhenUsed/>
    <w:rsid w:val="001E2952"/>
    <w:pPr>
      <w:spacing w:line="240" w:lineRule="auto"/>
    </w:pPr>
    <w:rPr>
      <w:rFonts w:ascii="Times New Roman" w:hAnsi="Times New Roman"/>
      <w:szCs w:val="20"/>
      <w:lang w:val="sl-SI" w:eastAsia="sl-SI"/>
    </w:rPr>
  </w:style>
  <w:style w:type="character" w:customStyle="1" w:styleId="Sprotnaopomba-besediloZnak">
    <w:name w:val="Sprotna opomba - besedilo Znak"/>
    <w:basedOn w:val="Privzetapisavaodstavka"/>
    <w:link w:val="Sprotnaopomba-besedilo"/>
    <w:uiPriority w:val="99"/>
    <w:rsid w:val="001E2952"/>
  </w:style>
  <w:style w:type="character" w:styleId="Sprotnaopomba-sklic">
    <w:name w:val="footnote reference"/>
    <w:aliases w:val="Appel note de bas de p"/>
    <w:uiPriority w:val="99"/>
    <w:unhideWhenUsed/>
    <w:rsid w:val="001E2952"/>
    <w:rPr>
      <w:vertAlign w:val="superscript"/>
    </w:rPr>
  </w:style>
  <w:style w:type="paragraph" w:styleId="Telobesedila2">
    <w:name w:val="Body Text 2"/>
    <w:basedOn w:val="Navaden"/>
    <w:link w:val="Telobesedila2Znak"/>
    <w:unhideWhenUsed/>
    <w:rsid w:val="00B22985"/>
    <w:pPr>
      <w:spacing w:after="120" w:line="480" w:lineRule="auto"/>
    </w:pPr>
    <w:rPr>
      <w:rFonts w:ascii="Times New Roman" w:hAnsi="Times New Roman"/>
      <w:sz w:val="24"/>
      <w:lang w:val="sl-SI" w:eastAsia="sl-SI"/>
    </w:rPr>
  </w:style>
  <w:style w:type="character" w:customStyle="1" w:styleId="Telobesedila2Znak">
    <w:name w:val="Telo besedila 2 Znak"/>
    <w:link w:val="Telobesedila2"/>
    <w:rsid w:val="00B22985"/>
    <w:rPr>
      <w:sz w:val="24"/>
      <w:szCs w:val="24"/>
    </w:rPr>
  </w:style>
  <w:style w:type="paragraph" w:customStyle="1" w:styleId="ZnakZnak4ZnakZnak">
    <w:name w:val="Znak Znak4 Znak Znak"/>
    <w:basedOn w:val="Navaden"/>
    <w:rsid w:val="00A336EF"/>
    <w:pPr>
      <w:spacing w:after="160" w:line="240" w:lineRule="exact"/>
    </w:pPr>
    <w:rPr>
      <w:rFonts w:ascii="Tahoma" w:eastAsia="SimSun" w:hAnsi="Tahoma" w:cs="Tahoma"/>
      <w:szCs w:val="20"/>
    </w:rPr>
  </w:style>
  <w:style w:type="paragraph" w:styleId="Besedilooblaka">
    <w:name w:val="Balloon Text"/>
    <w:basedOn w:val="Navaden"/>
    <w:link w:val="BesedilooblakaZnak"/>
    <w:rsid w:val="008C67B7"/>
    <w:pPr>
      <w:spacing w:line="240" w:lineRule="auto"/>
    </w:pPr>
    <w:rPr>
      <w:rFonts w:ascii="Tahoma" w:hAnsi="Tahoma" w:cs="Tahoma"/>
      <w:sz w:val="16"/>
      <w:szCs w:val="16"/>
    </w:rPr>
  </w:style>
  <w:style w:type="character" w:customStyle="1" w:styleId="BesedilooblakaZnak">
    <w:name w:val="Besedilo oblačka Znak"/>
    <w:link w:val="Besedilooblaka"/>
    <w:rsid w:val="008C67B7"/>
    <w:rPr>
      <w:rFonts w:ascii="Tahoma" w:hAnsi="Tahoma" w:cs="Tahoma"/>
      <w:sz w:val="16"/>
      <w:szCs w:val="16"/>
      <w:lang w:val="en-US" w:eastAsia="en-US"/>
    </w:rPr>
  </w:style>
  <w:style w:type="paragraph" w:customStyle="1" w:styleId="Text3">
    <w:name w:val="Text 3"/>
    <w:basedOn w:val="Navaden"/>
    <w:rsid w:val="00863AF2"/>
    <w:pPr>
      <w:tabs>
        <w:tab w:val="left" w:pos="2302"/>
      </w:tabs>
      <w:spacing w:after="240" w:line="240" w:lineRule="auto"/>
      <w:ind w:left="1202"/>
      <w:jc w:val="both"/>
    </w:pPr>
    <w:rPr>
      <w:rFonts w:ascii="Times New Roman" w:eastAsia="Arial" w:hAnsi="Times New Roman"/>
      <w:sz w:val="24"/>
      <w:szCs w:val="20"/>
      <w:lang w:val="en-GB"/>
    </w:rPr>
  </w:style>
  <w:style w:type="paragraph" w:styleId="Telobesedila">
    <w:name w:val="Body Text"/>
    <w:basedOn w:val="Navaden"/>
    <w:link w:val="TelobesedilaZnak"/>
    <w:rsid w:val="00863AF2"/>
    <w:pPr>
      <w:spacing w:after="120" w:line="240" w:lineRule="auto"/>
    </w:pPr>
    <w:rPr>
      <w:rFonts w:ascii="Times New Roman" w:hAnsi="Times New Roman"/>
      <w:sz w:val="24"/>
      <w:lang w:val="sl-SI" w:eastAsia="sl-SI"/>
    </w:rPr>
  </w:style>
  <w:style w:type="character" w:customStyle="1" w:styleId="TelobesedilaZnak">
    <w:name w:val="Telo besedila Znak"/>
    <w:link w:val="Telobesedila"/>
    <w:rsid w:val="00863AF2"/>
    <w:rPr>
      <w:sz w:val="24"/>
      <w:szCs w:val="24"/>
    </w:rPr>
  </w:style>
  <w:style w:type="character" w:customStyle="1" w:styleId="Naslov5Znak">
    <w:name w:val="Naslov 5 Znak"/>
    <w:link w:val="Naslov5"/>
    <w:rsid w:val="00863AF2"/>
    <w:rPr>
      <w:rFonts w:ascii="Calibri" w:eastAsia="Times New Roman" w:hAnsi="Calibri" w:cs="Times New Roman"/>
      <w:b/>
      <w:bCs/>
      <w:i/>
      <w:iCs/>
      <w:sz w:val="26"/>
      <w:szCs w:val="26"/>
      <w:lang w:val="en-US" w:eastAsia="en-US"/>
    </w:rPr>
  </w:style>
  <w:style w:type="character" w:styleId="Poudarek">
    <w:name w:val="Emphasis"/>
    <w:uiPriority w:val="20"/>
    <w:qFormat/>
    <w:rsid w:val="00863AF2"/>
    <w:rPr>
      <w:i/>
      <w:iCs/>
    </w:rPr>
  </w:style>
  <w:style w:type="paragraph" w:customStyle="1" w:styleId="documentdescription">
    <w:name w:val="documentdescription"/>
    <w:basedOn w:val="Navaden"/>
    <w:rsid w:val="00863AF2"/>
    <w:pPr>
      <w:spacing w:after="360" w:line="270" w:lineRule="atLeast"/>
    </w:pPr>
    <w:rPr>
      <w:rFonts w:ascii="Times New Roman" w:hAnsi="Times New Roman"/>
      <w:b/>
      <w:bCs/>
      <w:color w:val="004C83"/>
      <w:sz w:val="24"/>
      <w:lang w:val="sl-SI" w:eastAsia="sl-SI"/>
    </w:rPr>
  </w:style>
  <w:style w:type="character" w:customStyle="1" w:styleId="apple-style-span">
    <w:name w:val="apple-style-span"/>
    <w:rsid w:val="0006585F"/>
  </w:style>
  <w:style w:type="character" w:styleId="Pripombasklic">
    <w:name w:val="annotation reference"/>
    <w:uiPriority w:val="99"/>
    <w:rsid w:val="0006585F"/>
    <w:rPr>
      <w:sz w:val="16"/>
      <w:szCs w:val="16"/>
    </w:rPr>
  </w:style>
  <w:style w:type="paragraph" w:styleId="Pripombabesedilo">
    <w:name w:val="annotation text"/>
    <w:basedOn w:val="Navaden"/>
    <w:link w:val="PripombabesediloZnak"/>
    <w:uiPriority w:val="99"/>
    <w:rsid w:val="0006585F"/>
    <w:rPr>
      <w:szCs w:val="20"/>
    </w:rPr>
  </w:style>
  <w:style w:type="character" w:customStyle="1" w:styleId="PripombabesediloZnak">
    <w:name w:val="Pripomba – besedilo Znak"/>
    <w:link w:val="Pripombabesedilo"/>
    <w:uiPriority w:val="99"/>
    <w:rsid w:val="0006585F"/>
    <w:rPr>
      <w:rFonts w:ascii="Arial" w:hAnsi="Arial"/>
      <w:lang w:val="en-US" w:eastAsia="en-US"/>
    </w:rPr>
  </w:style>
  <w:style w:type="paragraph" w:styleId="Zadevapripombe">
    <w:name w:val="annotation subject"/>
    <w:basedOn w:val="Pripombabesedilo"/>
    <w:next w:val="Pripombabesedilo"/>
    <w:link w:val="ZadevapripombeZnak"/>
    <w:uiPriority w:val="99"/>
    <w:rsid w:val="0006585F"/>
    <w:rPr>
      <w:b/>
      <w:bCs/>
    </w:rPr>
  </w:style>
  <w:style w:type="character" w:customStyle="1" w:styleId="ZadevapripombeZnak">
    <w:name w:val="Zadeva pripombe Znak"/>
    <w:link w:val="Zadevapripombe"/>
    <w:uiPriority w:val="99"/>
    <w:rsid w:val="0006585F"/>
    <w:rPr>
      <w:rFonts w:ascii="Arial" w:hAnsi="Arial"/>
      <w:b/>
      <w:bCs/>
      <w:lang w:val="en-US" w:eastAsia="en-US"/>
    </w:rPr>
  </w:style>
  <w:style w:type="paragraph" w:customStyle="1" w:styleId="CharCharChar1">
    <w:name w:val="Char Char Char1"/>
    <w:basedOn w:val="Navaden"/>
    <w:rsid w:val="00EB7A72"/>
    <w:pPr>
      <w:spacing w:after="160" w:line="240" w:lineRule="exact"/>
    </w:pPr>
    <w:rPr>
      <w:rFonts w:ascii="Times New Roman" w:hAnsi="Times New Roman"/>
      <w:noProof/>
      <w:color w:val="000000"/>
      <w:szCs w:val="20"/>
      <w:lang w:val="sl-SI" w:eastAsia="sl-SI"/>
    </w:rPr>
  </w:style>
  <w:style w:type="paragraph" w:customStyle="1" w:styleId="Default">
    <w:name w:val="Default"/>
    <w:rsid w:val="00084067"/>
    <w:pPr>
      <w:autoSpaceDE w:val="0"/>
      <w:autoSpaceDN w:val="0"/>
      <w:adjustRightInd w:val="0"/>
    </w:pPr>
    <w:rPr>
      <w:rFonts w:ascii="Trebuchet MS" w:hAnsi="Trebuchet MS" w:cs="Trebuchet MS"/>
      <w:color w:val="000000"/>
      <w:sz w:val="24"/>
      <w:szCs w:val="24"/>
    </w:rPr>
  </w:style>
  <w:style w:type="paragraph" w:customStyle="1" w:styleId="BodyText21">
    <w:name w:val="Body Text 21"/>
    <w:basedOn w:val="Navaden"/>
    <w:rsid w:val="00EF7E59"/>
    <w:pPr>
      <w:spacing w:line="313" w:lineRule="atLeast"/>
      <w:jc w:val="both"/>
    </w:pPr>
    <w:rPr>
      <w:rFonts w:ascii="Times New Roman" w:hAnsi="Times New Roman"/>
      <w:sz w:val="24"/>
      <w:szCs w:val="20"/>
      <w:lang w:val="sl-SI" w:eastAsia="sl-SI"/>
    </w:rPr>
  </w:style>
  <w:style w:type="character" w:customStyle="1" w:styleId="apple-tab-span">
    <w:name w:val="apple-tab-span"/>
    <w:rsid w:val="0047497D"/>
  </w:style>
  <w:style w:type="character" w:customStyle="1" w:styleId="Nerazreenaomemba1">
    <w:name w:val="Nerazrešena omemba1"/>
    <w:uiPriority w:val="99"/>
    <w:semiHidden/>
    <w:unhideWhenUsed/>
    <w:rsid w:val="0049795A"/>
    <w:rPr>
      <w:color w:val="605E5C"/>
      <w:shd w:val="clear" w:color="auto" w:fill="E1DFDD"/>
    </w:rPr>
  </w:style>
  <w:style w:type="paragraph" w:styleId="Revizija">
    <w:name w:val="Revision"/>
    <w:hidden/>
    <w:uiPriority w:val="99"/>
    <w:semiHidden/>
    <w:rsid w:val="005E71DC"/>
    <w:rPr>
      <w:rFonts w:ascii="Arial" w:hAnsi="Arial"/>
      <w:szCs w:val="24"/>
      <w:lang w:val="en-US" w:eastAsia="en-US"/>
    </w:rPr>
  </w:style>
  <w:style w:type="table" w:styleId="Tabelamrea">
    <w:name w:val="Table Grid"/>
    <w:basedOn w:val="Navadnatabela"/>
    <w:uiPriority w:val="39"/>
    <w:rsid w:val="002F6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otevilenodstavek">
    <w:name w:val="Neoštevilčen odstavek"/>
    <w:basedOn w:val="Navaden"/>
    <w:link w:val="NeotevilenodstavekZnak"/>
    <w:qFormat/>
    <w:rsid w:val="009836C6"/>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9836C6"/>
    <w:rPr>
      <w:rFonts w:ascii="Arial" w:hAnsi="Arial" w:cs="Arial"/>
      <w:sz w:val="22"/>
      <w:szCs w:val="22"/>
    </w:rPr>
  </w:style>
  <w:style w:type="paragraph" w:customStyle="1" w:styleId="Oddelek">
    <w:name w:val="Oddelek"/>
    <w:basedOn w:val="Navaden"/>
    <w:link w:val="OddelekZnak1"/>
    <w:qFormat/>
    <w:rsid w:val="009836C6"/>
    <w:pPr>
      <w:numPr>
        <w:numId w:val="11"/>
      </w:num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9836C6"/>
    <w:rPr>
      <w:rFonts w:ascii="Arial" w:hAnsi="Arial"/>
      <w:b/>
      <w:sz w:val="22"/>
      <w:szCs w:val="22"/>
      <w:lang w:val="x-none" w:eastAsia="x-none"/>
    </w:rPr>
  </w:style>
  <w:style w:type="paragraph" w:customStyle="1" w:styleId="esegmentt1">
    <w:name w:val="esegment_t1"/>
    <w:basedOn w:val="Navaden"/>
    <w:rsid w:val="000A7E14"/>
    <w:pPr>
      <w:spacing w:after="140" w:line="360" w:lineRule="atLeast"/>
      <w:jc w:val="center"/>
    </w:pPr>
    <w:rPr>
      <w:rFonts w:ascii="Times New Roman" w:hAnsi="Times New Roman"/>
      <w:b/>
      <w:bCs/>
      <w:color w:val="6B7E9D"/>
      <w:sz w:val="31"/>
      <w:szCs w:val="31"/>
      <w:lang w:val="sl-SI" w:eastAsia="sl-SI"/>
    </w:rPr>
  </w:style>
  <w:style w:type="character" w:customStyle="1" w:styleId="highlight1">
    <w:name w:val="highlight1"/>
    <w:rsid w:val="000A7E14"/>
    <w:rPr>
      <w:color w:val="FF0000"/>
      <w:shd w:val="clear" w:color="auto" w:fill="FFFFFF"/>
    </w:rPr>
  </w:style>
  <w:style w:type="paragraph" w:customStyle="1" w:styleId="esegmenth41">
    <w:name w:val="esegment_h41"/>
    <w:basedOn w:val="Navaden"/>
    <w:rsid w:val="000A7E14"/>
    <w:pPr>
      <w:spacing w:after="140" w:line="240" w:lineRule="auto"/>
      <w:jc w:val="center"/>
    </w:pPr>
    <w:rPr>
      <w:rFonts w:ascii="Times New Roman" w:hAnsi="Times New Roman"/>
      <w:b/>
      <w:bCs/>
      <w:color w:val="333333"/>
      <w:sz w:val="12"/>
      <w:szCs w:val="12"/>
      <w:lang w:val="sl-SI" w:eastAsia="sl-SI"/>
    </w:rPr>
  </w:style>
  <w:style w:type="paragraph" w:customStyle="1" w:styleId="odstavek">
    <w:name w:val="odstavek"/>
    <w:basedOn w:val="Navaden"/>
    <w:rsid w:val="000A7E14"/>
    <w:pPr>
      <w:spacing w:before="100" w:beforeAutospacing="1" w:after="100" w:afterAutospacing="1" w:line="240" w:lineRule="auto"/>
    </w:pPr>
    <w:rPr>
      <w:rFonts w:ascii="Times New Roman" w:hAnsi="Times New Roman"/>
      <w:sz w:val="24"/>
      <w:lang w:val="sl-SI" w:eastAsia="sl-SI"/>
    </w:rPr>
  </w:style>
  <w:style w:type="character" w:customStyle="1" w:styleId="highlight">
    <w:name w:val="highlight"/>
    <w:rsid w:val="000A7E14"/>
  </w:style>
  <w:style w:type="paragraph" w:customStyle="1" w:styleId="alineazaodstavkom0">
    <w:name w:val="alineazaodstavkom"/>
    <w:basedOn w:val="Navaden"/>
    <w:rsid w:val="00BA1D60"/>
    <w:pPr>
      <w:spacing w:before="100" w:beforeAutospacing="1" w:after="100" w:afterAutospacing="1" w:line="240" w:lineRule="auto"/>
    </w:pPr>
    <w:rPr>
      <w:rFonts w:ascii="Times New Roman" w:hAnsi="Times New Roman"/>
      <w:sz w:val="24"/>
      <w:lang w:val="sl-SI" w:eastAsia="sl-SI"/>
    </w:rPr>
  </w:style>
  <w:style w:type="character" w:customStyle="1" w:styleId="Naslov2Znak">
    <w:name w:val="Naslov 2 Znak"/>
    <w:aliases w:val="APEK-2 Znak"/>
    <w:basedOn w:val="Privzetapisavaodstavka"/>
    <w:link w:val="Naslov2"/>
    <w:rsid w:val="00FA4B44"/>
    <w:rPr>
      <w:rFonts w:asciiTheme="majorHAnsi" w:eastAsiaTheme="majorEastAsia" w:hAnsiTheme="majorHAnsi" w:cstheme="majorBidi"/>
      <w:color w:val="2F5496" w:themeColor="accent1" w:themeShade="BF"/>
      <w:sz w:val="26"/>
      <w:szCs w:val="26"/>
      <w:lang w:val="en-US" w:eastAsia="en-US"/>
    </w:rPr>
  </w:style>
  <w:style w:type="character" w:customStyle="1" w:styleId="Naslov3Znak">
    <w:name w:val="Naslov 3 Znak"/>
    <w:aliases w:val="APEK-3 Znak"/>
    <w:basedOn w:val="Privzetapisavaodstavka"/>
    <w:link w:val="Naslov3"/>
    <w:rsid w:val="00FA4B44"/>
    <w:rPr>
      <w:rFonts w:ascii="Arial" w:hAnsi="Arial" w:cs="Arial"/>
      <w:b/>
      <w:bCs/>
      <w:sz w:val="22"/>
      <w:szCs w:val="26"/>
    </w:rPr>
  </w:style>
  <w:style w:type="character" w:customStyle="1" w:styleId="Naslov4Znak">
    <w:name w:val="Naslov 4 Znak"/>
    <w:basedOn w:val="Privzetapisavaodstavka"/>
    <w:link w:val="Naslov4"/>
    <w:rsid w:val="00FA4B44"/>
    <w:rPr>
      <w:rFonts w:ascii="Arial" w:hAnsi="Arial"/>
      <w:b/>
      <w:sz w:val="24"/>
      <w:lang w:eastAsia="en-US"/>
    </w:rPr>
  </w:style>
  <w:style w:type="character" w:customStyle="1" w:styleId="Naslov6Znak">
    <w:name w:val="Naslov 6 Znak"/>
    <w:basedOn w:val="Privzetapisavaodstavka"/>
    <w:link w:val="Naslov6"/>
    <w:rsid w:val="00FA4B44"/>
    <w:rPr>
      <w:i/>
      <w:sz w:val="22"/>
      <w:lang w:eastAsia="en-US"/>
    </w:rPr>
  </w:style>
  <w:style w:type="character" w:customStyle="1" w:styleId="Naslov7Znak">
    <w:name w:val="Naslov 7 Znak"/>
    <w:basedOn w:val="Privzetapisavaodstavka"/>
    <w:link w:val="Naslov7"/>
    <w:rsid w:val="00FA4B44"/>
    <w:rPr>
      <w:rFonts w:ascii="Arial" w:hAnsi="Arial"/>
      <w:lang w:eastAsia="en-US"/>
    </w:rPr>
  </w:style>
  <w:style w:type="character" w:customStyle="1" w:styleId="Naslov8Znak">
    <w:name w:val="Naslov 8 Znak"/>
    <w:basedOn w:val="Privzetapisavaodstavka"/>
    <w:link w:val="Naslov8"/>
    <w:rsid w:val="00FA4B44"/>
    <w:rPr>
      <w:rFonts w:ascii="Arial" w:hAnsi="Arial"/>
      <w:i/>
      <w:lang w:eastAsia="en-US"/>
    </w:rPr>
  </w:style>
  <w:style w:type="character" w:customStyle="1" w:styleId="Naslov9Znak">
    <w:name w:val="Naslov 9 Znak"/>
    <w:basedOn w:val="Privzetapisavaodstavka"/>
    <w:link w:val="Naslov9"/>
    <w:rsid w:val="00FA4B44"/>
    <w:rPr>
      <w:rFonts w:ascii="Arial" w:hAnsi="Arial"/>
      <w:b/>
      <w:i/>
      <w:sz w:val="18"/>
      <w:lang w:eastAsia="en-US"/>
    </w:rPr>
  </w:style>
  <w:style w:type="character" w:customStyle="1" w:styleId="Bodytext4">
    <w:name w:val="Body text (4)_"/>
    <w:basedOn w:val="Privzetapisavaodstavka"/>
    <w:link w:val="Bodytext40"/>
    <w:locked/>
    <w:rsid w:val="00FA4B44"/>
    <w:rPr>
      <w:rFonts w:ascii="Arial" w:eastAsia="Arial" w:hAnsi="Arial" w:cs="Arial"/>
      <w:b/>
      <w:bCs/>
      <w:i/>
      <w:iCs/>
      <w:shd w:val="clear" w:color="auto" w:fill="FFFFFF"/>
    </w:rPr>
  </w:style>
  <w:style w:type="paragraph" w:customStyle="1" w:styleId="Bodytext40">
    <w:name w:val="Body text (4)"/>
    <w:basedOn w:val="Navaden"/>
    <w:link w:val="Bodytext4"/>
    <w:rsid w:val="00FA4B44"/>
    <w:pPr>
      <w:widowControl w:val="0"/>
      <w:shd w:val="clear" w:color="auto" w:fill="FFFFFF"/>
      <w:spacing w:before="600" w:after="360" w:line="0" w:lineRule="atLeast"/>
    </w:pPr>
    <w:rPr>
      <w:rFonts w:eastAsia="Arial" w:cs="Arial"/>
      <w:b/>
      <w:bCs/>
      <w:i/>
      <w:iCs/>
      <w:szCs w:val="20"/>
      <w:lang w:val="sl-SI" w:eastAsia="sl-SI"/>
    </w:rPr>
  </w:style>
  <w:style w:type="character" w:customStyle="1" w:styleId="NogaZnak">
    <w:name w:val="Noga Znak"/>
    <w:aliases w:val="APEK-5 Znak"/>
    <w:basedOn w:val="Privzetapisavaodstavka"/>
    <w:link w:val="Noga"/>
    <w:rsid w:val="00FA4B44"/>
    <w:rPr>
      <w:rFonts w:ascii="Arial" w:hAnsi="Arial"/>
      <w:szCs w:val="24"/>
      <w:lang w:val="en-US" w:eastAsia="en-US"/>
    </w:rPr>
  </w:style>
  <w:style w:type="paragraph" w:customStyle="1" w:styleId="Navaden1">
    <w:name w:val="Navaden1"/>
    <w:basedOn w:val="Navaden"/>
    <w:rsid w:val="00FA4B44"/>
    <w:pPr>
      <w:spacing w:before="100" w:beforeAutospacing="1" w:after="100" w:afterAutospacing="1" w:line="240" w:lineRule="auto"/>
    </w:pPr>
    <w:rPr>
      <w:rFonts w:ascii="Times New Roman" w:hAnsi="Times New Roman"/>
      <w:sz w:val="24"/>
      <w:lang w:val="sl-SI" w:eastAsia="sl-SI"/>
    </w:rPr>
  </w:style>
  <w:style w:type="character" w:customStyle="1" w:styleId="Naslov1Znak">
    <w:name w:val="Naslov 1 Znak"/>
    <w:aliases w:val="NASLOV Znak,APEK-1 Znak"/>
    <w:basedOn w:val="Privzetapisavaodstavka"/>
    <w:link w:val="Naslov1"/>
    <w:uiPriority w:val="9"/>
    <w:rsid w:val="00FA4B44"/>
    <w:rPr>
      <w:rFonts w:ascii="Arial" w:hAnsi="Arial" w:cs="Arial"/>
      <w:b/>
      <w:kern w:val="32"/>
    </w:rPr>
  </w:style>
  <w:style w:type="paragraph" w:customStyle="1" w:styleId="Vrstapredpisa">
    <w:name w:val="Vrsta predpisa"/>
    <w:basedOn w:val="Navaden"/>
    <w:link w:val="VrstapredpisaZnak"/>
    <w:qFormat/>
    <w:rsid w:val="00FA4B44"/>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FA4B44"/>
    <w:rPr>
      <w:rFonts w:ascii="Arial" w:hAnsi="Arial" w:cs="Arial"/>
      <w:b/>
      <w:bCs/>
      <w:color w:val="000000"/>
      <w:spacing w:val="40"/>
      <w:sz w:val="22"/>
      <w:szCs w:val="22"/>
    </w:rPr>
  </w:style>
  <w:style w:type="paragraph" w:customStyle="1" w:styleId="Naslovpredpisa">
    <w:name w:val="Naslov_predpisa"/>
    <w:basedOn w:val="Navaden"/>
    <w:link w:val="NaslovpredpisaZnak"/>
    <w:qFormat/>
    <w:rsid w:val="00FA4B44"/>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FA4B44"/>
    <w:rPr>
      <w:rFonts w:ascii="Arial" w:hAnsi="Arial" w:cs="Arial"/>
      <w:b/>
      <w:sz w:val="22"/>
      <w:szCs w:val="22"/>
    </w:rPr>
  </w:style>
  <w:style w:type="paragraph" w:customStyle="1" w:styleId="Poglavje">
    <w:name w:val="Poglavje"/>
    <w:basedOn w:val="Navaden"/>
    <w:qFormat/>
    <w:rsid w:val="00FA4B4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Barvniseznampoudarek11">
    <w:name w:val="Barvni seznam – poudarek 11"/>
    <w:basedOn w:val="Navaden"/>
    <w:qFormat/>
    <w:rsid w:val="00FA4B44"/>
    <w:pPr>
      <w:spacing w:after="200" w:line="276" w:lineRule="auto"/>
      <w:ind w:left="720"/>
      <w:contextualSpacing/>
    </w:pPr>
    <w:rPr>
      <w:rFonts w:ascii="Calibri" w:eastAsia="Calibri" w:hAnsi="Calibri"/>
      <w:sz w:val="22"/>
      <w:szCs w:val="22"/>
      <w:lang w:val="sl-SI"/>
    </w:rPr>
  </w:style>
  <w:style w:type="paragraph" w:customStyle="1" w:styleId="Alineazaodstavkom">
    <w:name w:val="Alinea za odstavkom"/>
    <w:basedOn w:val="Navaden"/>
    <w:link w:val="AlineazaodstavkomZnak"/>
    <w:qFormat/>
    <w:rsid w:val="00FA4B44"/>
    <w:pPr>
      <w:numPr>
        <w:numId w:val="7"/>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FA4B44"/>
    <w:rPr>
      <w:rFonts w:ascii="Arial" w:hAnsi="Arial" w:cs="Arial"/>
      <w:sz w:val="22"/>
      <w:szCs w:val="22"/>
    </w:rPr>
  </w:style>
  <w:style w:type="paragraph" w:customStyle="1" w:styleId="Alineazatoko">
    <w:name w:val="Alinea za točko"/>
    <w:basedOn w:val="Navaden"/>
    <w:link w:val="AlineazatokoZnak"/>
    <w:qFormat/>
    <w:rsid w:val="00FA4B44"/>
    <w:pPr>
      <w:tabs>
        <w:tab w:val="num" w:pos="720"/>
      </w:tabs>
      <w:overflowPunct w:val="0"/>
      <w:autoSpaceDE w:val="0"/>
      <w:autoSpaceDN w:val="0"/>
      <w:adjustRightInd w:val="0"/>
      <w:spacing w:line="200" w:lineRule="exact"/>
      <w:ind w:left="720" w:hanging="360"/>
      <w:jc w:val="both"/>
      <w:textAlignment w:val="baseline"/>
    </w:pPr>
    <w:rPr>
      <w:rFonts w:cs="Arial"/>
      <w:sz w:val="22"/>
      <w:szCs w:val="22"/>
      <w:lang w:val="sl-SI" w:eastAsia="sl-SI"/>
    </w:rPr>
  </w:style>
  <w:style w:type="character" w:customStyle="1" w:styleId="AlineazatokoZnak">
    <w:name w:val="Alinea za točko Znak"/>
    <w:link w:val="Alineazatoko"/>
    <w:rsid w:val="00FA4B44"/>
    <w:rPr>
      <w:rFonts w:ascii="Arial" w:hAnsi="Arial" w:cs="Arial"/>
      <w:sz w:val="22"/>
      <w:szCs w:val="22"/>
    </w:rPr>
  </w:style>
  <w:style w:type="character" w:customStyle="1" w:styleId="rkovnatokazaodstavkomZnak">
    <w:name w:val="Črkovna točka_za odstavkom Znak"/>
    <w:link w:val="rkovnatokazaodstavkom"/>
    <w:rsid w:val="00FA4B44"/>
    <w:rPr>
      <w:rFonts w:ascii="Arial" w:hAnsi="Arial"/>
    </w:rPr>
  </w:style>
  <w:style w:type="paragraph" w:customStyle="1" w:styleId="rkovnatokazaodstavkom">
    <w:name w:val="Črkovna točka_za odstavkom"/>
    <w:basedOn w:val="Navaden"/>
    <w:link w:val="rkovnatokazaodstavkomZnak"/>
    <w:qFormat/>
    <w:rsid w:val="00FA4B44"/>
    <w:pPr>
      <w:numPr>
        <w:numId w:val="8"/>
      </w:numPr>
      <w:overflowPunct w:val="0"/>
      <w:autoSpaceDE w:val="0"/>
      <w:autoSpaceDN w:val="0"/>
      <w:adjustRightInd w:val="0"/>
      <w:spacing w:line="200" w:lineRule="exact"/>
      <w:jc w:val="both"/>
      <w:textAlignment w:val="baseline"/>
    </w:pPr>
    <w:rPr>
      <w:szCs w:val="20"/>
      <w:lang w:val="sl-SI" w:eastAsia="sl-SI"/>
    </w:rPr>
  </w:style>
  <w:style w:type="paragraph" w:customStyle="1" w:styleId="Odsek">
    <w:name w:val="Odsek"/>
    <w:basedOn w:val="Oddelek"/>
    <w:link w:val="OdsekZnak"/>
    <w:qFormat/>
    <w:rsid w:val="00FA4B44"/>
    <w:pPr>
      <w:numPr>
        <w:numId w:val="0"/>
      </w:numPr>
    </w:pPr>
    <w:rPr>
      <w:rFonts w:cs="Arial"/>
      <w:lang w:val="sl-SI" w:eastAsia="sl-SI"/>
    </w:rPr>
  </w:style>
  <w:style w:type="character" w:customStyle="1" w:styleId="OdsekZnak">
    <w:name w:val="Odsek Znak"/>
    <w:link w:val="Odsek"/>
    <w:rsid w:val="00FA4B44"/>
    <w:rPr>
      <w:rFonts w:ascii="Arial" w:hAnsi="Arial" w:cs="Arial"/>
      <w:b/>
      <w:sz w:val="22"/>
      <w:szCs w:val="22"/>
    </w:rPr>
  </w:style>
  <w:style w:type="paragraph" w:customStyle="1" w:styleId="Slog1">
    <w:name w:val="Slog1"/>
    <w:basedOn w:val="Navaden"/>
    <w:rsid w:val="00FA4B44"/>
    <w:pPr>
      <w:numPr>
        <w:numId w:val="9"/>
      </w:numPr>
      <w:spacing w:line="240" w:lineRule="auto"/>
      <w:jc w:val="center"/>
    </w:pPr>
    <w:rPr>
      <w:sz w:val="24"/>
      <w:szCs w:val="20"/>
      <w:lang w:val="sl-SI"/>
    </w:rPr>
  </w:style>
  <w:style w:type="paragraph" w:customStyle="1" w:styleId="len">
    <w:name w:val="Člen"/>
    <w:basedOn w:val="Navaden"/>
    <w:next w:val="Navaden"/>
    <w:rsid w:val="00FA4B44"/>
    <w:pPr>
      <w:numPr>
        <w:numId w:val="10"/>
      </w:numPr>
      <w:spacing w:line="240" w:lineRule="auto"/>
      <w:jc w:val="center"/>
    </w:pPr>
    <w:rPr>
      <w:sz w:val="24"/>
      <w:szCs w:val="20"/>
      <w:lang w:val="sl-SI"/>
    </w:rPr>
  </w:style>
  <w:style w:type="paragraph" w:styleId="Oznaenseznam">
    <w:name w:val="List Bullet"/>
    <w:basedOn w:val="Navaden"/>
    <w:autoRedefine/>
    <w:rsid w:val="00FA4B44"/>
    <w:pPr>
      <w:tabs>
        <w:tab w:val="num" w:pos="360"/>
      </w:tabs>
      <w:spacing w:line="240" w:lineRule="auto"/>
      <w:ind w:left="360" w:hanging="360"/>
      <w:jc w:val="both"/>
    </w:pPr>
    <w:rPr>
      <w:sz w:val="24"/>
      <w:szCs w:val="20"/>
      <w:lang w:val="sl-SI"/>
    </w:rPr>
  </w:style>
  <w:style w:type="paragraph" w:styleId="Telobesedila3">
    <w:name w:val="Body Text 3"/>
    <w:basedOn w:val="Navaden"/>
    <w:link w:val="Telobesedila3Znak"/>
    <w:rsid w:val="00FA4B44"/>
    <w:pPr>
      <w:spacing w:line="240" w:lineRule="auto"/>
    </w:pPr>
    <w:rPr>
      <w:rFonts w:eastAsia="MS Mincho"/>
      <w:sz w:val="24"/>
      <w:szCs w:val="20"/>
      <w:lang w:val="sl-SI"/>
    </w:rPr>
  </w:style>
  <w:style w:type="character" w:customStyle="1" w:styleId="Telobesedila3Znak">
    <w:name w:val="Telo besedila 3 Znak"/>
    <w:basedOn w:val="Privzetapisavaodstavka"/>
    <w:link w:val="Telobesedila3"/>
    <w:rsid w:val="00FA4B44"/>
    <w:rPr>
      <w:rFonts w:ascii="Arial" w:eastAsia="MS Mincho" w:hAnsi="Arial"/>
      <w:sz w:val="24"/>
      <w:lang w:eastAsia="en-US"/>
    </w:rPr>
  </w:style>
  <w:style w:type="character" w:styleId="tevilkastrani">
    <w:name w:val="page number"/>
    <w:rsid w:val="00FA4B44"/>
  </w:style>
  <w:style w:type="paragraph" w:styleId="Telobesedila-zamik">
    <w:name w:val="Body Text Indent"/>
    <w:basedOn w:val="Navaden"/>
    <w:link w:val="Telobesedila-zamikZnak"/>
    <w:rsid w:val="00FA4B44"/>
    <w:pPr>
      <w:spacing w:line="288" w:lineRule="auto"/>
      <w:ind w:left="709" w:hanging="283"/>
    </w:pPr>
    <w:rPr>
      <w:rFonts w:eastAsia="MS Mincho"/>
      <w:szCs w:val="20"/>
      <w:lang w:val="sl-SI"/>
    </w:rPr>
  </w:style>
  <w:style w:type="character" w:customStyle="1" w:styleId="Telobesedila-zamikZnak">
    <w:name w:val="Telo besedila - zamik Znak"/>
    <w:basedOn w:val="Privzetapisavaodstavka"/>
    <w:link w:val="Telobesedila-zamik"/>
    <w:rsid w:val="00FA4B44"/>
    <w:rPr>
      <w:rFonts w:ascii="Arial" w:eastAsia="MS Mincho" w:hAnsi="Arial"/>
      <w:lang w:eastAsia="en-US"/>
    </w:rPr>
  </w:style>
  <w:style w:type="character" w:customStyle="1" w:styleId="Artdef">
    <w:name w:val="Art#_def"/>
    <w:rsid w:val="00FA4B44"/>
    <w:rPr>
      <w:rFonts w:ascii="Times New Roman" w:hAnsi="Times New Roman"/>
      <w:b/>
      <w:color w:val="auto"/>
    </w:rPr>
  </w:style>
  <w:style w:type="character" w:customStyle="1" w:styleId="Notes">
    <w:name w:val="Notes"/>
    <w:rsid w:val="00FA4B44"/>
    <w:rPr>
      <w:rFonts w:ascii="Arial" w:hAnsi="Arial"/>
      <w:sz w:val="16"/>
    </w:rPr>
  </w:style>
  <w:style w:type="numbering" w:customStyle="1" w:styleId="NoList1">
    <w:name w:val="No List1"/>
    <w:next w:val="Brezseznama"/>
    <w:semiHidden/>
    <w:rsid w:val="00FA4B44"/>
  </w:style>
  <w:style w:type="character" w:styleId="SledenaHiperpovezava">
    <w:name w:val="FollowedHyperlink"/>
    <w:rsid w:val="00FA4B44"/>
    <w:rPr>
      <w:color w:val="800080"/>
      <w:u w:val="single"/>
    </w:rPr>
  </w:style>
  <w:style w:type="paragraph" w:styleId="Kazalovsebine1">
    <w:name w:val="toc 1"/>
    <w:basedOn w:val="Navaden"/>
    <w:next w:val="Navaden"/>
    <w:autoRedefine/>
    <w:rsid w:val="00FA4B44"/>
    <w:pPr>
      <w:spacing w:line="240" w:lineRule="auto"/>
      <w:ind w:left="470" w:hanging="470"/>
    </w:pPr>
    <w:rPr>
      <w:rFonts w:ascii="Times New Roman" w:hAnsi="Times New Roman"/>
      <w:sz w:val="14"/>
      <w:lang w:val="de-DE" w:eastAsia="sl-SI"/>
    </w:rPr>
  </w:style>
  <w:style w:type="paragraph" w:styleId="Kazalovsebine2">
    <w:name w:val="toc 2"/>
    <w:basedOn w:val="Kazalovsebine1"/>
    <w:next w:val="Navaden"/>
    <w:rsid w:val="00FA4B44"/>
    <w:pPr>
      <w:keepLines/>
      <w:tabs>
        <w:tab w:val="left" w:pos="1985"/>
        <w:tab w:val="right" w:leader="dot" w:pos="8505"/>
        <w:tab w:val="right" w:pos="9355"/>
      </w:tabs>
      <w:overflowPunct w:val="0"/>
      <w:autoSpaceDE w:val="0"/>
      <w:autoSpaceDN w:val="0"/>
      <w:adjustRightInd w:val="0"/>
      <w:spacing w:before="160"/>
      <w:ind w:left="1985" w:right="851" w:hanging="1985"/>
      <w:jc w:val="both"/>
    </w:pPr>
    <w:rPr>
      <w:szCs w:val="20"/>
      <w:lang w:val="fr-FR" w:eastAsia="en-US"/>
    </w:rPr>
  </w:style>
  <w:style w:type="paragraph" w:styleId="Kazalovsebine4">
    <w:name w:val="toc 4"/>
    <w:basedOn w:val="Navaden"/>
    <w:next w:val="Navaden"/>
    <w:autoRedefine/>
    <w:rsid w:val="00FA4B44"/>
    <w:pPr>
      <w:spacing w:line="240" w:lineRule="auto"/>
      <w:ind w:left="18"/>
      <w:jc w:val="both"/>
    </w:pPr>
    <w:rPr>
      <w:rFonts w:ascii="Times New Roman" w:hAnsi="Times New Roman"/>
      <w:sz w:val="16"/>
      <w:lang w:val="en-AU" w:eastAsia="sl-SI"/>
    </w:rPr>
  </w:style>
  <w:style w:type="paragraph" w:styleId="Kazalovsebine6">
    <w:name w:val="toc 6"/>
    <w:basedOn w:val="Kazalovsebine4"/>
    <w:next w:val="Navaden"/>
    <w:rsid w:val="00FA4B44"/>
    <w:pPr>
      <w:keepLines/>
      <w:tabs>
        <w:tab w:val="right" w:leader="dot" w:pos="8505"/>
        <w:tab w:val="right" w:pos="9355"/>
      </w:tabs>
      <w:overflowPunct w:val="0"/>
      <w:autoSpaceDE w:val="0"/>
      <w:autoSpaceDN w:val="0"/>
      <w:adjustRightInd w:val="0"/>
      <w:spacing w:before="80"/>
      <w:ind w:left="3913" w:right="851" w:hanging="851"/>
    </w:pPr>
    <w:rPr>
      <w:szCs w:val="20"/>
      <w:lang w:val="fr-FR" w:eastAsia="en-US"/>
    </w:rPr>
  </w:style>
  <w:style w:type="paragraph" w:styleId="Kazalovsebine7">
    <w:name w:val="toc 7"/>
    <w:basedOn w:val="Navaden"/>
    <w:next w:val="Navaden"/>
    <w:autoRedefine/>
    <w:rsid w:val="00FA4B44"/>
    <w:pPr>
      <w:keepLines/>
      <w:tabs>
        <w:tab w:val="left" w:pos="1134"/>
        <w:tab w:val="left" w:pos="1871"/>
        <w:tab w:val="left" w:pos="2268"/>
        <w:tab w:val="left" w:pos="6350"/>
        <w:tab w:val="right" w:leader="dot" w:pos="9725"/>
      </w:tabs>
      <w:spacing w:before="240" w:line="240" w:lineRule="auto"/>
      <w:ind w:left="457" w:hanging="457"/>
    </w:pPr>
    <w:rPr>
      <w:rFonts w:ascii="Times New Roman" w:hAnsi="Times New Roman"/>
      <w:noProof/>
      <w:color w:val="000000"/>
      <w:sz w:val="14"/>
      <w:szCs w:val="20"/>
      <w:lang w:val="sl-SI" w:eastAsia="sl-SI"/>
    </w:rPr>
  </w:style>
  <w:style w:type="paragraph" w:styleId="Konnaopomba-besedilo">
    <w:name w:val="endnote text"/>
    <w:basedOn w:val="Navaden"/>
    <w:link w:val="Konnaopomba-besediloZnak"/>
    <w:rsid w:val="00FA4B44"/>
    <w:pPr>
      <w:spacing w:line="240" w:lineRule="auto"/>
    </w:pPr>
    <w:rPr>
      <w:rFonts w:ascii="MS Sans Serif" w:hAnsi="MS Sans Serif"/>
      <w:szCs w:val="20"/>
      <w:lang w:eastAsia="sl-SI"/>
    </w:rPr>
  </w:style>
  <w:style w:type="character" w:customStyle="1" w:styleId="Konnaopomba-besediloZnak">
    <w:name w:val="Končna opomba - besedilo Znak"/>
    <w:basedOn w:val="Privzetapisavaodstavka"/>
    <w:link w:val="Konnaopomba-besedilo"/>
    <w:rsid w:val="00FA4B44"/>
    <w:rPr>
      <w:rFonts w:ascii="MS Sans Serif" w:hAnsi="MS Sans Serif"/>
      <w:lang w:val="en-US"/>
    </w:rPr>
  </w:style>
  <w:style w:type="paragraph" w:customStyle="1" w:styleId="TableText">
    <w:name w:val="Table_Text"/>
    <w:basedOn w:val="Navaden"/>
    <w:rsid w:val="00FA4B44"/>
    <w:pPr>
      <w:keepNext/>
      <w:widowControl w:val="0"/>
      <w:tabs>
        <w:tab w:val="left" w:pos="113"/>
        <w:tab w:val="left" w:pos="624"/>
        <w:tab w:val="left" w:pos="737"/>
        <w:tab w:val="left" w:pos="1985"/>
        <w:tab w:val="left" w:pos="2098"/>
      </w:tabs>
      <w:spacing w:before="60" w:after="60" w:line="240" w:lineRule="auto"/>
      <w:jc w:val="both"/>
    </w:pPr>
    <w:rPr>
      <w:sz w:val="16"/>
      <w:szCs w:val="20"/>
      <w:lang w:val="en-GB" w:eastAsia="sl-SI"/>
    </w:rPr>
  </w:style>
  <w:style w:type="paragraph" w:customStyle="1" w:styleId="TableTextS5">
    <w:name w:val="Table_TextS5"/>
    <w:basedOn w:val="Navaden"/>
    <w:link w:val="TableTextS5Char"/>
    <w:rsid w:val="00FA4B44"/>
    <w:pPr>
      <w:tabs>
        <w:tab w:val="left" w:pos="170"/>
        <w:tab w:val="left" w:pos="567"/>
        <w:tab w:val="left" w:pos="737"/>
        <w:tab w:val="left" w:pos="2977"/>
        <w:tab w:val="left" w:pos="3266"/>
      </w:tabs>
      <w:overflowPunct w:val="0"/>
      <w:autoSpaceDE w:val="0"/>
      <w:autoSpaceDN w:val="0"/>
      <w:adjustRightInd w:val="0"/>
      <w:spacing w:before="40" w:after="40" w:line="240" w:lineRule="auto"/>
    </w:pPr>
    <w:rPr>
      <w:rFonts w:ascii="Times New Roman" w:hAnsi="Times New Roman"/>
      <w:szCs w:val="20"/>
      <w:lang w:val="fr-FR"/>
    </w:rPr>
  </w:style>
  <w:style w:type="paragraph" w:customStyle="1" w:styleId="Border">
    <w:name w:val="Border"/>
    <w:basedOn w:val="TableText"/>
    <w:rsid w:val="00FA4B44"/>
    <w:pPr>
      <w:keepNext w:val="0"/>
      <w:widowControl/>
      <w:pBdr>
        <w:bottom w:val="single" w:sz="6" w:space="0" w:color="auto"/>
      </w:pBdr>
      <w:tabs>
        <w:tab w:val="clear" w:pos="113"/>
        <w:tab w:val="clear" w:pos="624"/>
        <w:tab w:val="clear" w:pos="1985"/>
        <w:tab w:val="clear" w:pos="2098"/>
        <w:tab w:val="left" w:pos="170"/>
        <w:tab w:val="left" w:pos="567"/>
        <w:tab w:val="left" w:pos="2977"/>
        <w:tab w:val="left" w:pos="3266"/>
      </w:tabs>
      <w:overflowPunct w:val="0"/>
      <w:autoSpaceDE w:val="0"/>
      <w:autoSpaceDN w:val="0"/>
      <w:adjustRightInd w:val="0"/>
      <w:spacing w:before="0" w:after="0" w:line="10" w:lineRule="exact"/>
      <w:ind w:left="28" w:right="28"/>
      <w:jc w:val="center"/>
    </w:pPr>
    <w:rPr>
      <w:rFonts w:ascii="Times New Roman" w:hAnsi="Times New Roman"/>
      <w:b/>
      <w:noProof/>
      <w:sz w:val="20"/>
      <w:lang w:val="en-US" w:eastAsia="en-US"/>
    </w:rPr>
  </w:style>
  <w:style w:type="paragraph" w:customStyle="1" w:styleId="TableTitle">
    <w:name w:val="Table_Title"/>
    <w:basedOn w:val="Navaden"/>
    <w:next w:val="TableText"/>
    <w:rsid w:val="00FA4B44"/>
    <w:pPr>
      <w:keepNext/>
      <w:widowControl w:val="0"/>
      <w:tabs>
        <w:tab w:val="left" w:pos="737"/>
        <w:tab w:val="left" w:pos="1134"/>
      </w:tabs>
      <w:spacing w:before="113" w:after="120" w:line="240" w:lineRule="auto"/>
      <w:jc w:val="center"/>
    </w:pPr>
    <w:rPr>
      <w:rFonts w:ascii="CG Times (W1)" w:hAnsi="CG Times (W1)"/>
      <w:b/>
      <w:sz w:val="18"/>
      <w:szCs w:val="20"/>
      <w:lang w:val="en-GB" w:eastAsia="sl-SI"/>
    </w:rPr>
  </w:style>
  <w:style w:type="paragraph" w:customStyle="1" w:styleId="Note">
    <w:name w:val="Note"/>
    <w:basedOn w:val="Navaden"/>
    <w:link w:val="NoteChar"/>
    <w:rsid w:val="00FA4B44"/>
    <w:pPr>
      <w:widowControl w:val="0"/>
      <w:tabs>
        <w:tab w:val="left" w:pos="-720"/>
      </w:tabs>
      <w:suppressAutoHyphens/>
      <w:spacing w:before="60" w:after="120" w:line="240" w:lineRule="auto"/>
    </w:pPr>
    <w:rPr>
      <w:sz w:val="16"/>
      <w:szCs w:val="20"/>
      <w:lang w:val="en-GB" w:eastAsia="sl-SI"/>
    </w:rPr>
  </w:style>
  <w:style w:type="paragraph" w:customStyle="1" w:styleId="ECA">
    <w:name w:val="ECA"/>
    <w:basedOn w:val="Navaden"/>
    <w:rsid w:val="00FA4B44"/>
    <w:pPr>
      <w:widowControl w:val="0"/>
      <w:tabs>
        <w:tab w:val="left" w:pos="1113"/>
        <w:tab w:val="left" w:pos="3381"/>
        <w:tab w:val="left" w:pos="5701"/>
        <w:tab w:val="left" w:pos="8167"/>
        <w:tab w:val="left" w:pos="9618"/>
      </w:tabs>
      <w:suppressAutoHyphens/>
      <w:spacing w:before="60" w:after="40" w:line="240" w:lineRule="auto"/>
      <w:ind w:left="-23"/>
    </w:pPr>
    <w:rPr>
      <w:spacing w:val="-2"/>
      <w:szCs w:val="20"/>
      <w:lang w:eastAsia="sl-SI"/>
    </w:rPr>
  </w:style>
  <w:style w:type="paragraph" w:customStyle="1" w:styleId="Tablelegend">
    <w:name w:val="Table_legend"/>
    <w:basedOn w:val="TableText"/>
    <w:next w:val="Navaden"/>
    <w:rsid w:val="00FA4B44"/>
    <w:pPr>
      <w:widowControl/>
      <w:tabs>
        <w:tab w:val="clear" w:pos="113"/>
        <w:tab w:val="clear" w:pos="624"/>
        <w:tab w:val="clear" w:pos="737"/>
        <w:tab w:val="clear" w:pos="1985"/>
        <w:tab w:val="clear" w:pos="2098"/>
        <w:tab w:val="left" w:pos="284"/>
        <w:tab w:val="left" w:pos="567"/>
        <w:tab w:val="left" w:pos="851"/>
        <w:tab w:val="left" w:pos="1134"/>
      </w:tabs>
      <w:overflowPunct w:val="0"/>
      <w:autoSpaceDE w:val="0"/>
      <w:autoSpaceDN w:val="0"/>
      <w:adjustRightInd w:val="0"/>
      <w:spacing w:before="120" w:after="0"/>
    </w:pPr>
    <w:rPr>
      <w:rFonts w:ascii="Times New Roman" w:hAnsi="Times New Roman"/>
      <w:sz w:val="20"/>
      <w:lang w:val="fr-FR" w:eastAsia="en-US"/>
    </w:rPr>
  </w:style>
  <w:style w:type="paragraph" w:customStyle="1" w:styleId="enumlev2">
    <w:name w:val="enumlev2"/>
    <w:basedOn w:val="Navaden"/>
    <w:rsid w:val="00FA4B44"/>
    <w:pPr>
      <w:tabs>
        <w:tab w:val="left" w:pos="907"/>
        <w:tab w:val="left" w:pos="1134"/>
        <w:tab w:val="left" w:pos="1871"/>
        <w:tab w:val="left" w:pos="2608"/>
        <w:tab w:val="left" w:pos="3345"/>
      </w:tabs>
      <w:overflowPunct w:val="0"/>
      <w:autoSpaceDE w:val="0"/>
      <w:autoSpaceDN w:val="0"/>
      <w:adjustRightInd w:val="0"/>
      <w:spacing w:before="120" w:line="240" w:lineRule="auto"/>
      <w:ind w:left="908" w:hanging="454"/>
      <w:jc w:val="both"/>
    </w:pPr>
    <w:rPr>
      <w:rFonts w:ascii="Times New Roman" w:hAnsi="Times New Roman"/>
      <w:sz w:val="14"/>
      <w:szCs w:val="20"/>
      <w:lang w:val="fr-FR"/>
    </w:rPr>
  </w:style>
  <w:style w:type="paragraph" w:customStyle="1" w:styleId="TableNo">
    <w:name w:val="Table_No"/>
    <w:basedOn w:val="Navaden"/>
    <w:next w:val="TableTitle"/>
    <w:rsid w:val="00FA4B44"/>
    <w:pPr>
      <w:keepNext/>
      <w:overflowPunct w:val="0"/>
      <w:autoSpaceDE w:val="0"/>
      <w:autoSpaceDN w:val="0"/>
      <w:adjustRightInd w:val="0"/>
      <w:spacing w:before="360" w:after="120" w:line="240" w:lineRule="auto"/>
      <w:jc w:val="center"/>
    </w:pPr>
    <w:rPr>
      <w:rFonts w:ascii="Times New Roman" w:hAnsi="Times New Roman"/>
      <w:szCs w:val="20"/>
      <w:lang w:val="fr-FR"/>
    </w:rPr>
  </w:style>
  <w:style w:type="paragraph" w:customStyle="1" w:styleId="Tabletext0">
    <w:name w:val="Table_text"/>
    <w:basedOn w:val="Navaden"/>
    <w:rsid w:val="00FA4B44"/>
    <w:pPr>
      <w:overflowPunct w:val="0"/>
      <w:autoSpaceDE w:val="0"/>
      <w:autoSpaceDN w:val="0"/>
      <w:adjustRightInd w:val="0"/>
      <w:spacing w:before="40" w:after="40" w:line="240" w:lineRule="auto"/>
      <w:jc w:val="both"/>
    </w:pPr>
    <w:rPr>
      <w:rFonts w:ascii="Times New Roman" w:hAnsi="Times New Roman"/>
      <w:szCs w:val="20"/>
      <w:lang w:val="fr-FR"/>
    </w:rPr>
  </w:style>
  <w:style w:type="paragraph" w:customStyle="1" w:styleId="Table">
    <w:name w:val="Table_#"/>
    <w:basedOn w:val="Navaden"/>
    <w:next w:val="TableTitle"/>
    <w:rsid w:val="00FA4B44"/>
    <w:pPr>
      <w:keepNext/>
      <w:widowControl w:val="0"/>
      <w:tabs>
        <w:tab w:val="left" w:pos="737"/>
        <w:tab w:val="left" w:pos="1134"/>
      </w:tabs>
      <w:spacing w:before="567" w:after="120" w:line="240" w:lineRule="auto"/>
      <w:jc w:val="center"/>
    </w:pPr>
    <w:rPr>
      <w:rFonts w:ascii="CG Times (W1)" w:hAnsi="CG Times (W1)"/>
      <w:sz w:val="18"/>
      <w:szCs w:val="20"/>
      <w:lang w:val="en-GB" w:eastAsia="sl-SI"/>
    </w:rPr>
  </w:style>
  <w:style w:type="paragraph" w:customStyle="1" w:styleId="Tableop">
    <w:name w:val="Table_op"/>
    <w:basedOn w:val="TableText"/>
    <w:rsid w:val="00FA4B44"/>
    <w:pPr>
      <w:keepLines/>
      <w:tabs>
        <w:tab w:val="clear" w:pos="113"/>
        <w:tab w:val="clear" w:pos="624"/>
        <w:tab w:val="clear" w:pos="737"/>
        <w:tab w:val="clear" w:pos="1985"/>
        <w:tab w:val="clear" w:pos="2098"/>
        <w:tab w:val="left" w:pos="830"/>
      </w:tabs>
      <w:spacing w:before="0" w:after="0" w:line="180" w:lineRule="atLeast"/>
      <w:ind w:left="470" w:hanging="470"/>
      <w:jc w:val="left"/>
    </w:pPr>
    <w:rPr>
      <w:rFonts w:ascii="Times New Roman" w:hAnsi="Times New Roman"/>
      <w:color w:val="000000"/>
      <w:sz w:val="14"/>
      <w:lang w:val="sl-SI"/>
    </w:rPr>
  </w:style>
  <w:style w:type="paragraph" w:customStyle="1" w:styleId="FigureLegend">
    <w:name w:val="Figure_Legend"/>
    <w:basedOn w:val="Navaden"/>
    <w:next w:val="Navaden"/>
    <w:rsid w:val="00FA4B44"/>
    <w:pPr>
      <w:keepNext/>
      <w:tabs>
        <w:tab w:val="left" w:pos="284"/>
        <w:tab w:val="left" w:pos="567"/>
        <w:tab w:val="left" w:pos="851"/>
        <w:tab w:val="left" w:pos="1134"/>
      </w:tabs>
      <w:spacing w:before="120" w:line="240" w:lineRule="auto"/>
      <w:jc w:val="both"/>
    </w:pPr>
    <w:rPr>
      <w:rFonts w:ascii="Times New Roman" w:hAnsi="Times New Roman"/>
      <w:noProof/>
      <w:szCs w:val="20"/>
      <w:lang w:val="sl-SI" w:eastAsia="sl-SI"/>
    </w:rPr>
  </w:style>
  <w:style w:type="paragraph" w:customStyle="1" w:styleId="TAH">
    <w:name w:val="TAH"/>
    <w:basedOn w:val="Navaden"/>
    <w:rsid w:val="00FA4B44"/>
    <w:pPr>
      <w:keepNext/>
      <w:keepLines/>
      <w:spacing w:line="240" w:lineRule="auto"/>
      <w:jc w:val="center"/>
    </w:pPr>
    <w:rPr>
      <w:b/>
      <w:sz w:val="18"/>
      <w:szCs w:val="20"/>
      <w:lang w:val="en-GB"/>
    </w:rPr>
  </w:style>
  <w:style w:type="paragraph" w:customStyle="1" w:styleId="Proposal">
    <w:name w:val="Proposal"/>
    <w:basedOn w:val="Navaden"/>
    <w:next w:val="Navaden"/>
    <w:rsid w:val="00FA4B44"/>
    <w:pPr>
      <w:keepNext/>
      <w:tabs>
        <w:tab w:val="left" w:pos="1134"/>
        <w:tab w:val="left" w:pos="1871"/>
        <w:tab w:val="left" w:pos="2268"/>
      </w:tabs>
      <w:overflowPunct w:val="0"/>
      <w:autoSpaceDE w:val="0"/>
      <w:autoSpaceDN w:val="0"/>
      <w:adjustRightInd w:val="0"/>
      <w:spacing w:before="240" w:line="240" w:lineRule="auto"/>
    </w:pPr>
    <w:rPr>
      <w:rFonts w:ascii="Times New Roman" w:hAnsi="Times New Roman"/>
      <w:sz w:val="24"/>
      <w:szCs w:val="20"/>
      <w:lang w:val="en-GB"/>
    </w:rPr>
  </w:style>
  <w:style w:type="character" w:styleId="Konnaopomba-sklic">
    <w:name w:val="endnote reference"/>
    <w:rsid w:val="00FA4B44"/>
    <w:rPr>
      <w:vertAlign w:val="superscript"/>
    </w:rPr>
  </w:style>
  <w:style w:type="character" w:customStyle="1" w:styleId="Artref">
    <w:name w:val="Art_ref"/>
    <w:rsid w:val="00FA4B44"/>
  </w:style>
  <w:style w:type="character" w:customStyle="1" w:styleId="Tablefreq">
    <w:name w:val="Table_freq"/>
    <w:rsid w:val="00FA4B44"/>
    <w:rPr>
      <w:b/>
      <w:bCs w:val="0"/>
      <w:color w:val="FF0000"/>
    </w:rPr>
  </w:style>
  <w:style w:type="character" w:customStyle="1" w:styleId="TableFreq0">
    <w:name w:val="Table_Freq"/>
    <w:rsid w:val="00FA4B44"/>
    <w:rPr>
      <w:b/>
      <w:bCs w:val="0"/>
      <w:color w:val="FF0000"/>
    </w:rPr>
  </w:style>
  <w:style w:type="character" w:customStyle="1" w:styleId="Freq">
    <w:name w:val="Freq"/>
    <w:rsid w:val="00FA4B44"/>
    <w:rPr>
      <w:sz w:val="24"/>
    </w:rPr>
  </w:style>
  <w:style w:type="character" w:customStyle="1" w:styleId="Artref0">
    <w:name w:val="Art#_ref"/>
    <w:rsid w:val="00FA4B44"/>
    <w:rPr>
      <w:color w:val="auto"/>
    </w:rPr>
  </w:style>
  <w:style w:type="character" w:customStyle="1" w:styleId="Alloc">
    <w:name w:val="Alloc"/>
    <w:rsid w:val="00FA4B44"/>
    <w:rPr>
      <w:sz w:val="16"/>
    </w:rPr>
  </w:style>
  <w:style w:type="character" w:customStyle="1" w:styleId="Artdef0">
    <w:name w:val="Art_def"/>
    <w:rsid w:val="00FA4B44"/>
    <w:rPr>
      <w:rFonts w:ascii="Times New Roman" w:hAnsi="Times New Roman" w:cs="Times New Roman" w:hint="default"/>
      <w:b/>
      <w:bCs w:val="0"/>
    </w:rPr>
  </w:style>
  <w:style w:type="character" w:customStyle="1" w:styleId="Resref">
    <w:name w:val="Res_ref"/>
    <w:rsid w:val="00FA4B44"/>
  </w:style>
  <w:style w:type="character" w:customStyle="1" w:styleId="Appref">
    <w:name w:val="App_ref"/>
    <w:rsid w:val="00FA4B44"/>
  </w:style>
  <w:style w:type="character" w:customStyle="1" w:styleId="href">
    <w:name w:val="href"/>
    <w:rsid w:val="00FA4B44"/>
  </w:style>
  <w:style w:type="paragraph" w:customStyle="1" w:styleId="TableNote">
    <w:name w:val="TableNote"/>
    <w:basedOn w:val="TableText"/>
    <w:rsid w:val="00FA4B44"/>
    <w:pPr>
      <w:keepNext w:val="0"/>
      <w:widowControl/>
      <w:tabs>
        <w:tab w:val="clear" w:pos="113"/>
        <w:tab w:val="clear" w:pos="624"/>
        <w:tab w:val="clear" w:pos="737"/>
        <w:tab w:val="clear" w:pos="1985"/>
        <w:tab w:val="clear" w:pos="2098"/>
      </w:tabs>
      <w:overflowPunct w:val="0"/>
      <w:autoSpaceDE w:val="0"/>
      <w:autoSpaceDN w:val="0"/>
      <w:adjustRightInd w:val="0"/>
      <w:spacing w:before="40" w:after="40"/>
    </w:pPr>
    <w:rPr>
      <w:rFonts w:ascii="Times New Roman" w:hAnsi="Times New Roman"/>
      <w:sz w:val="20"/>
      <w:lang w:val="fr-FR" w:eastAsia="en-US"/>
    </w:rPr>
  </w:style>
  <w:style w:type="paragraph" w:customStyle="1" w:styleId="Band">
    <w:name w:val="Band"/>
    <w:basedOn w:val="ECA"/>
    <w:rsid w:val="00FA4B44"/>
  </w:style>
  <w:style w:type="paragraph" w:customStyle="1" w:styleId="NavadenTimesNewRoman">
    <w:name w:val="Navaden Times New Roman"/>
    <w:basedOn w:val="Navaden"/>
    <w:rsid w:val="00FA4B44"/>
    <w:pPr>
      <w:widowControl w:val="0"/>
      <w:spacing w:line="240" w:lineRule="auto"/>
    </w:pPr>
    <w:rPr>
      <w:rFonts w:ascii="Times New Roman" w:hAnsi="Times New Roman"/>
      <w:sz w:val="22"/>
      <w:szCs w:val="20"/>
      <w:lang w:val="sl-SI" w:eastAsia="sl-SI"/>
    </w:rPr>
  </w:style>
  <w:style w:type="paragraph" w:styleId="Telobesedila-zamik2">
    <w:name w:val="Body Text Indent 2"/>
    <w:basedOn w:val="Navaden"/>
    <w:link w:val="Telobesedila-zamik2Znak"/>
    <w:rsid w:val="00FA4B44"/>
    <w:pPr>
      <w:spacing w:line="288" w:lineRule="auto"/>
      <w:ind w:left="426" w:hanging="426"/>
      <w:jc w:val="both"/>
    </w:pPr>
    <w:rPr>
      <w:rFonts w:cs="Arial"/>
      <w:sz w:val="24"/>
      <w:szCs w:val="20"/>
      <w:lang w:val="sl-SI"/>
    </w:rPr>
  </w:style>
  <w:style w:type="character" w:customStyle="1" w:styleId="Telobesedila-zamik2Znak">
    <w:name w:val="Telo besedila - zamik 2 Znak"/>
    <w:basedOn w:val="Privzetapisavaodstavka"/>
    <w:link w:val="Telobesedila-zamik2"/>
    <w:rsid w:val="00FA4B44"/>
    <w:rPr>
      <w:rFonts w:ascii="Arial" w:hAnsi="Arial" w:cs="Arial"/>
      <w:sz w:val="24"/>
      <w:lang w:eastAsia="en-US"/>
    </w:rPr>
  </w:style>
  <w:style w:type="paragraph" w:styleId="Telobesedila-zamik3">
    <w:name w:val="Body Text Indent 3"/>
    <w:basedOn w:val="Navaden"/>
    <w:link w:val="Telobesedila-zamik3Znak"/>
    <w:rsid w:val="00FA4B44"/>
    <w:pPr>
      <w:tabs>
        <w:tab w:val="left" w:pos="851"/>
      </w:tabs>
      <w:autoSpaceDE w:val="0"/>
      <w:autoSpaceDN w:val="0"/>
      <w:adjustRightInd w:val="0"/>
      <w:spacing w:line="240" w:lineRule="auto"/>
      <w:ind w:left="851" w:hanging="851"/>
      <w:jc w:val="both"/>
    </w:pPr>
    <w:rPr>
      <w:rFonts w:ascii="Times New Roman" w:hAnsi="Times New Roman"/>
      <w:color w:val="000000"/>
      <w:szCs w:val="20"/>
      <w:lang w:val="sl-SI" w:eastAsia="sl-SI"/>
    </w:rPr>
  </w:style>
  <w:style w:type="character" w:customStyle="1" w:styleId="Telobesedila-zamik3Znak">
    <w:name w:val="Telo besedila - zamik 3 Znak"/>
    <w:basedOn w:val="Privzetapisavaodstavka"/>
    <w:link w:val="Telobesedila-zamik3"/>
    <w:rsid w:val="00FA4B44"/>
    <w:rPr>
      <w:color w:val="000000"/>
    </w:rPr>
  </w:style>
  <w:style w:type="paragraph" w:styleId="z-dnoobrazca">
    <w:name w:val="HTML Bottom of Form"/>
    <w:basedOn w:val="Navaden"/>
    <w:next w:val="Navaden"/>
    <w:link w:val="z-dnoobrazcaZnak"/>
    <w:hidden/>
    <w:rsid w:val="00FA4B44"/>
    <w:pPr>
      <w:pBdr>
        <w:top w:val="single" w:sz="6" w:space="1" w:color="auto"/>
      </w:pBdr>
      <w:spacing w:line="240" w:lineRule="auto"/>
      <w:jc w:val="center"/>
    </w:pPr>
    <w:rPr>
      <w:rFonts w:cs="Arial"/>
      <w:vanish/>
      <w:sz w:val="16"/>
      <w:szCs w:val="16"/>
      <w:lang w:val="en-GB"/>
    </w:rPr>
  </w:style>
  <w:style w:type="character" w:customStyle="1" w:styleId="z-dnoobrazcaZnak">
    <w:name w:val="z-dno obrazca Znak"/>
    <w:basedOn w:val="Privzetapisavaodstavka"/>
    <w:link w:val="z-dnoobrazca"/>
    <w:rsid w:val="00FA4B44"/>
    <w:rPr>
      <w:rFonts w:ascii="Arial" w:hAnsi="Arial" w:cs="Arial"/>
      <w:vanish/>
      <w:sz w:val="16"/>
      <w:szCs w:val="16"/>
      <w:lang w:val="en-GB" w:eastAsia="en-US"/>
    </w:rPr>
  </w:style>
  <w:style w:type="paragraph" w:customStyle="1" w:styleId="TockaGradiva">
    <w:name w:val="TockaGradiva"/>
    <w:basedOn w:val="Navaden"/>
    <w:rsid w:val="00FA4B44"/>
    <w:pPr>
      <w:keepNext/>
      <w:keepLines/>
      <w:tabs>
        <w:tab w:val="left" w:pos="426"/>
      </w:tabs>
      <w:spacing w:before="240" w:after="240" w:line="240" w:lineRule="auto"/>
      <w:jc w:val="both"/>
    </w:pPr>
    <w:rPr>
      <w:rFonts w:ascii="Tahoma" w:hAnsi="Tahoma" w:cs="Tahoma"/>
      <w:b/>
      <w:bCs/>
      <w:sz w:val="22"/>
      <w:szCs w:val="20"/>
      <w:lang w:val="sl-SI" w:eastAsia="sl-SI"/>
    </w:rPr>
  </w:style>
  <w:style w:type="paragraph" w:customStyle="1" w:styleId="BesediloTocke">
    <w:name w:val="BesediloTocke"/>
    <w:basedOn w:val="Navaden"/>
    <w:rsid w:val="00FA4B44"/>
    <w:pPr>
      <w:widowControl w:val="0"/>
      <w:spacing w:before="120" w:after="240" w:line="240" w:lineRule="auto"/>
      <w:ind w:left="426"/>
      <w:jc w:val="both"/>
    </w:pPr>
    <w:rPr>
      <w:rFonts w:ascii="Tahoma" w:hAnsi="Tahoma" w:cs="Tahoma"/>
      <w:sz w:val="22"/>
      <w:szCs w:val="20"/>
      <w:lang w:val="sl-SI" w:eastAsia="sl-SI"/>
    </w:rPr>
  </w:style>
  <w:style w:type="paragraph" w:styleId="HTML-oblikovano">
    <w:name w:val="HTML Preformatted"/>
    <w:basedOn w:val="Navaden"/>
    <w:link w:val="HTML-oblikovanoZnak"/>
    <w:rsid w:val="00FA4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szCs w:val="20"/>
      <w:lang w:val="sl-SI" w:eastAsia="sl-SI"/>
    </w:rPr>
  </w:style>
  <w:style w:type="character" w:customStyle="1" w:styleId="HTML-oblikovanoZnak">
    <w:name w:val="HTML-oblikovano Znak"/>
    <w:basedOn w:val="Privzetapisavaodstavka"/>
    <w:link w:val="HTML-oblikovano"/>
    <w:rsid w:val="00FA4B44"/>
    <w:rPr>
      <w:rFonts w:ascii="Arial Unicode MS" w:eastAsia="Arial Unicode MS" w:hAnsi="Arial Unicode MS" w:cs="Arial Unicode MS"/>
    </w:rPr>
  </w:style>
  <w:style w:type="paragraph" w:customStyle="1" w:styleId="BodyText22">
    <w:name w:val="Body Text 22"/>
    <w:basedOn w:val="Navaden"/>
    <w:rsid w:val="00FA4B44"/>
    <w:pPr>
      <w:widowControl w:val="0"/>
      <w:spacing w:before="40" w:after="40" w:line="240" w:lineRule="auto"/>
      <w:ind w:left="114" w:hanging="114"/>
    </w:pPr>
    <w:rPr>
      <w:rFonts w:ascii="Times New Roman" w:hAnsi="Times New Roman"/>
      <w:color w:val="0000FF"/>
      <w:sz w:val="14"/>
      <w:szCs w:val="20"/>
      <w:lang w:val="en-GB" w:eastAsia="sl-SI"/>
    </w:rPr>
  </w:style>
  <w:style w:type="paragraph" w:customStyle="1" w:styleId="Datedadoption">
    <w:name w:val="Date d'adoption"/>
    <w:basedOn w:val="Navaden"/>
    <w:next w:val="Titreobjet"/>
    <w:rsid w:val="00FA4B44"/>
    <w:pPr>
      <w:spacing w:before="360" w:line="240" w:lineRule="auto"/>
      <w:jc w:val="center"/>
    </w:pPr>
    <w:rPr>
      <w:rFonts w:ascii="Times New Roman" w:hAnsi="Times New Roman"/>
      <w:b/>
      <w:bCs/>
      <w:snapToGrid w:val="0"/>
      <w:sz w:val="24"/>
      <w:lang w:val="en-GB" w:eastAsia="en-GB"/>
    </w:rPr>
  </w:style>
  <w:style w:type="paragraph" w:customStyle="1" w:styleId="Titreobjet">
    <w:name w:val="Titre objet"/>
    <w:basedOn w:val="Navaden"/>
    <w:next w:val="Navaden"/>
    <w:rsid w:val="00FA4B44"/>
    <w:pPr>
      <w:spacing w:before="360" w:after="360" w:line="240" w:lineRule="auto"/>
      <w:jc w:val="center"/>
    </w:pPr>
    <w:rPr>
      <w:rFonts w:ascii="Times New Roman" w:hAnsi="Times New Roman"/>
      <w:b/>
      <w:bCs/>
      <w:snapToGrid w:val="0"/>
      <w:sz w:val="24"/>
      <w:lang w:val="en-GB" w:eastAsia="en-GB"/>
    </w:rPr>
  </w:style>
  <w:style w:type="paragraph" w:customStyle="1" w:styleId="Typedudocument">
    <w:name w:val="Type du document"/>
    <w:basedOn w:val="Navaden"/>
    <w:next w:val="Datedadoption"/>
    <w:rsid w:val="00FA4B44"/>
    <w:pPr>
      <w:spacing w:before="360" w:line="240" w:lineRule="auto"/>
      <w:jc w:val="center"/>
    </w:pPr>
    <w:rPr>
      <w:rFonts w:ascii="Times New Roman" w:hAnsi="Times New Roman"/>
      <w:b/>
      <w:bCs/>
      <w:snapToGrid w:val="0"/>
      <w:sz w:val="24"/>
      <w:lang w:val="en-GB" w:eastAsia="en-GB"/>
    </w:rPr>
  </w:style>
  <w:style w:type="paragraph" w:customStyle="1" w:styleId="Rectitle">
    <w:name w:val="Rec_title"/>
    <w:basedOn w:val="Navaden"/>
    <w:next w:val="Navaden"/>
    <w:rsid w:val="00FA4B44"/>
    <w:pPr>
      <w:keepNext/>
      <w:keepLines/>
      <w:tabs>
        <w:tab w:val="left" w:pos="794"/>
        <w:tab w:val="left" w:pos="1191"/>
        <w:tab w:val="left" w:pos="1588"/>
        <w:tab w:val="left" w:pos="1985"/>
      </w:tabs>
      <w:overflowPunct w:val="0"/>
      <w:autoSpaceDE w:val="0"/>
      <w:autoSpaceDN w:val="0"/>
      <w:adjustRightInd w:val="0"/>
      <w:spacing w:before="360" w:line="240" w:lineRule="auto"/>
      <w:jc w:val="center"/>
      <w:textAlignment w:val="baseline"/>
    </w:pPr>
    <w:rPr>
      <w:rFonts w:ascii="Times New Roman" w:hAnsi="Times New Roman"/>
      <w:b/>
      <w:sz w:val="28"/>
      <w:szCs w:val="20"/>
      <w:lang w:val="en-GB"/>
    </w:rPr>
  </w:style>
  <w:style w:type="paragraph" w:styleId="Golobesedilo">
    <w:name w:val="Plain Text"/>
    <w:basedOn w:val="Navaden"/>
    <w:link w:val="GolobesediloZnak"/>
    <w:rsid w:val="00FA4B44"/>
    <w:pPr>
      <w:spacing w:line="240" w:lineRule="auto"/>
      <w:jc w:val="both"/>
    </w:pPr>
    <w:rPr>
      <w:rFonts w:ascii="Courier New" w:hAnsi="Courier New" w:cs="Courier New"/>
      <w:szCs w:val="20"/>
      <w:lang w:val="sl-SI" w:eastAsia="sl-SI"/>
    </w:rPr>
  </w:style>
  <w:style w:type="character" w:customStyle="1" w:styleId="GolobesediloZnak">
    <w:name w:val="Golo besedilo Znak"/>
    <w:basedOn w:val="Privzetapisavaodstavka"/>
    <w:link w:val="Golobesedilo"/>
    <w:rsid w:val="00FA4B44"/>
    <w:rPr>
      <w:rFonts w:ascii="Courier New" w:hAnsi="Courier New" w:cs="Courier New"/>
    </w:rPr>
  </w:style>
  <w:style w:type="paragraph" w:customStyle="1" w:styleId="ZnakZnakCharCharZnakZnakCharChar">
    <w:name w:val="Znak Znak Char Char Znak Znak Char Char"/>
    <w:basedOn w:val="Navaden"/>
    <w:rsid w:val="00FA4B44"/>
    <w:pPr>
      <w:tabs>
        <w:tab w:val="left" w:pos="540"/>
        <w:tab w:val="left" w:pos="1260"/>
        <w:tab w:val="left" w:pos="1800"/>
      </w:tabs>
      <w:spacing w:before="240" w:after="160" w:line="240" w:lineRule="exact"/>
    </w:pPr>
    <w:rPr>
      <w:rFonts w:ascii="Verdana" w:hAnsi="Verdana"/>
      <w:sz w:val="24"/>
      <w:szCs w:val="20"/>
    </w:rPr>
  </w:style>
  <w:style w:type="paragraph" w:customStyle="1" w:styleId="CharCharCharCharCharChar">
    <w:name w:val="Char Char Char Char Char Char"/>
    <w:basedOn w:val="Navaden"/>
    <w:link w:val="CharCharCharCharCharCharZnak"/>
    <w:rsid w:val="00FA4B44"/>
    <w:pPr>
      <w:tabs>
        <w:tab w:val="left" w:pos="540"/>
        <w:tab w:val="left" w:pos="1260"/>
        <w:tab w:val="left" w:pos="1800"/>
      </w:tabs>
      <w:spacing w:before="240" w:after="160" w:line="240" w:lineRule="exact"/>
    </w:pPr>
    <w:rPr>
      <w:rFonts w:ascii="Verdana" w:hAnsi="Verdana"/>
      <w:sz w:val="24"/>
      <w:szCs w:val="20"/>
    </w:rPr>
  </w:style>
  <w:style w:type="character" w:customStyle="1" w:styleId="NoteChar">
    <w:name w:val="Note Char"/>
    <w:link w:val="Note"/>
    <w:rsid w:val="00FA4B44"/>
    <w:rPr>
      <w:rFonts w:ascii="Arial" w:hAnsi="Arial"/>
      <w:sz w:val="16"/>
      <w:lang w:val="en-GB"/>
    </w:rPr>
  </w:style>
  <w:style w:type="paragraph" w:customStyle="1" w:styleId="glavatabele">
    <w:name w:val="glava tabele"/>
    <w:basedOn w:val="Navaden"/>
    <w:rsid w:val="00FA4B44"/>
    <w:pPr>
      <w:spacing w:line="240" w:lineRule="auto"/>
      <w:jc w:val="center"/>
    </w:pPr>
    <w:rPr>
      <w:b/>
      <w:bCs/>
      <w:sz w:val="12"/>
      <w:lang w:val="sl-SI" w:eastAsia="sl-SI"/>
    </w:rPr>
  </w:style>
  <w:style w:type="paragraph" w:customStyle="1" w:styleId="ZnakZnakCharCharZnakZnakCharCharZnakZnakCharCharZnakZnak">
    <w:name w:val="Znak Znak Char Char Znak Znak Char Char Znak Znak Char Char Znak Znak"/>
    <w:basedOn w:val="Navaden"/>
    <w:rsid w:val="00FA4B44"/>
    <w:pPr>
      <w:tabs>
        <w:tab w:val="left" w:pos="540"/>
        <w:tab w:val="left" w:pos="1260"/>
        <w:tab w:val="left" w:pos="1800"/>
      </w:tabs>
      <w:spacing w:before="240" w:after="160" w:line="240" w:lineRule="exact"/>
    </w:pPr>
    <w:rPr>
      <w:rFonts w:ascii="Verdana" w:hAnsi="Verdana"/>
      <w:sz w:val="24"/>
      <w:szCs w:val="20"/>
    </w:rPr>
  </w:style>
  <w:style w:type="character" w:customStyle="1" w:styleId="CharCharCharCharCharCharZnak">
    <w:name w:val="Char Char Char Char Char Char Znak"/>
    <w:link w:val="CharCharCharCharCharChar"/>
    <w:rsid w:val="00FA4B44"/>
    <w:rPr>
      <w:rFonts w:ascii="Verdana" w:hAnsi="Verdana"/>
      <w:sz w:val="24"/>
      <w:lang w:val="en-US" w:eastAsia="en-US"/>
    </w:rPr>
  </w:style>
  <w:style w:type="character" w:customStyle="1" w:styleId="TableTextS5Char">
    <w:name w:val="Table_TextS5 Char"/>
    <w:link w:val="TableTextS5"/>
    <w:rsid w:val="00FA4B44"/>
    <w:rPr>
      <w:lang w:val="fr-FR" w:eastAsia="en-US"/>
    </w:rPr>
  </w:style>
  <w:style w:type="paragraph" w:customStyle="1" w:styleId="CM1">
    <w:name w:val="CM1"/>
    <w:basedOn w:val="Default"/>
    <w:next w:val="Default"/>
    <w:uiPriority w:val="99"/>
    <w:rsid w:val="00FA4B44"/>
    <w:rPr>
      <w:rFonts w:ascii="EUAlbertina" w:hAnsi="EUAlbertina" w:cs="Times New Roman"/>
      <w:color w:val="auto"/>
    </w:rPr>
  </w:style>
  <w:style w:type="paragraph" w:customStyle="1" w:styleId="CM4">
    <w:name w:val="CM4"/>
    <w:basedOn w:val="Default"/>
    <w:next w:val="Default"/>
    <w:uiPriority w:val="99"/>
    <w:rsid w:val="00FA4B44"/>
    <w:rPr>
      <w:rFonts w:ascii="EUAlbertina" w:hAnsi="EUAlbertina" w:cs="Times New Roman"/>
      <w:color w:val="auto"/>
    </w:rPr>
  </w:style>
  <w:style w:type="numbering" w:customStyle="1" w:styleId="NoList2">
    <w:name w:val="No List2"/>
    <w:next w:val="Brezseznama"/>
    <w:semiHidden/>
    <w:rsid w:val="00FA4B44"/>
  </w:style>
  <w:style w:type="numbering" w:customStyle="1" w:styleId="NoList11">
    <w:name w:val="No List11"/>
    <w:next w:val="Brezseznama"/>
    <w:semiHidden/>
    <w:rsid w:val="00FA4B44"/>
  </w:style>
  <w:style w:type="character" w:styleId="HTML-kratica">
    <w:name w:val="HTML Acronym"/>
    <w:rsid w:val="00FA4B44"/>
  </w:style>
  <w:style w:type="paragraph" w:customStyle="1" w:styleId="Naslov8Krepko">
    <w:name w:val="Naslov 8 Krepko"/>
    <w:basedOn w:val="Naslov8"/>
    <w:link w:val="Naslov8KrepkoZnak"/>
    <w:rsid w:val="00FA4B44"/>
    <w:pPr>
      <w:spacing w:before="0" w:after="0"/>
    </w:pPr>
    <w:rPr>
      <w:bCs/>
      <w:sz w:val="16"/>
    </w:rPr>
  </w:style>
  <w:style w:type="character" w:customStyle="1" w:styleId="Naslov8KrepkoZnak">
    <w:name w:val="Naslov 8 Krepko Znak"/>
    <w:link w:val="Naslov8Krepko"/>
    <w:rsid w:val="00FA4B44"/>
    <w:rPr>
      <w:rFonts w:ascii="Arial" w:hAnsi="Arial"/>
      <w:bCs/>
      <w:i/>
      <w:sz w:val="16"/>
      <w:lang w:eastAsia="en-US"/>
    </w:rPr>
  </w:style>
  <w:style w:type="paragraph" w:customStyle="1" w:styleId="linkdoc">
    <w:name w:val="link doc"/>
    <w:basedOn w:val="Navaden"/>
    <w:rsid w:val="00FA4B44"/>
    <w:pPr>
      <w:spacing w:before="100" w:beforeAutospacing="1" w:after="100" w:afterAutospacing="1" w:line="240" w:lineRule="auto"/>
    </w:pPr>
    <w:rPr>
      <w:rFonts w:ascii="Times New Roman" w:hAnsi="Times New Roman"/>
      <w:sz w:val="24"/>
      <w:lang w:val="sl-SI" w:eastAsia="sl-SI"/>
    </w:rPr>
  </w:style>
  <w:style w:type="character" w:customStyle="1" w:styleId="linkdoc1">
    <w:name w:val="link doc1"/>
    <w:rsid w:val="00FA4B44"/>
  </w:style>
  <w:style w:type="character" w:customStyle="1" w:styleId="linkpdf">
    <w:name w:val="link pdf"/>
    <w:rsid w:val="00FA4B44"/>
  </w:style>
  <w:style w:type="paragraph" w:customStyle="1" w:styleId="CM3">
    <w:name w:val="CM3"/>
    <w:basedOn w:val="Default"/>
    <w:next w:val="Default"/>
    <w:uiPriority w:val="99"/>
    <w:rsid w:val="00FA4B44"/>
    <w:rPr>
      <w:rFonts w:ascii="EUAlbertina" w:hAnsi="EUAlbertina" w:cs="Times New Roman"/>
      <w:color w:val="auto"/>
    </w:rPr>
  </w:style>
  <w:style w:type="character" w:customStyle="1" w:styleId="notranslate">
    <w:name w:val="notranslate"/>
    <w:rsid w:val="00FA4B44"/>
  </w:style>
  <w:style w:type="character" w:customStyle="1" w:styleId="tlid-translation">
    <w:name w:val="tlid-translation"/>
    <w:basedOn w:val="Privzetapisavaodstavka"/>
    <w:rsid w:val="00FA4B44"/>
  </w:style>
  <w:style w:type="paragraph" w:customStyle="1" w:styleId="pf0">
    <w:name w:val="pf0"/>
    <w:basedOn w:val="Navaden"/>
    <w:rsid w:val="00860308"/>
    <w:pPr>
      <w:spacing w:before="100" w:beforeAutospacing="1" w:after="100" w:afterAutospacing="1" w:line="240" w:lineRule="auto"/>
    </w:pPr>
    <w:rPr>
      <w:rFonts w:ascii="Times New Roman" w:hAnsi="Times New Roman"/>
      <w:sz w:val="24"/>
      <w:lang w:val="sl-SI" w:eastAsia="sl-SI"/>
    </w:rPr>
  </w:style>
  <w:style w:type="character" w:customStyle="1" w:styleId="cf01">
    <w:name w:val="cf01"/>
    <w:basedOn w:val="Privzetapisavaodstavka"/>
    <w:rsid w:val="00860308"/>
    <w:rPr>
      <w:rFonts w:ascii="Segoe UI" w:hAnsi="Segoe UI" w:cs="Segoe UI" w:hint="default"/>
      <w:sz w:val="18"/>
      <w:szCs w:val="18"/>
    </w:rPr>
  </w:style>
  <w:style w:type="paragraph" w:customStyle="1" w:styleId="vrstapredpisa0">
    <w:name w:val="vrstapredpisa"/>
    <w:basedOn w:val="Navaden"/>
    <w:rsid w:val="007A7496"/>
    <w:pPr>
      <w:spacing w:before="100" w:beforeAutospacing="1" w:after="100" w:afterAutospacing="1" w:line="240" w:lineRule="auto"/>
    </w:pPr>
    <w:rPr>
      <w:rFonts w:ascii="Times New Roman" w:hAnsi="Times New Roman"/>
      <w:sz w:val="24"/>
      <w:lang w:val="sl-SI" w:eastAsia="sl-SI"/>
    </w:rPr>
  </w:style>
  <w:style w:type="paragraph" w:customStyle="1" w:styleId="naslovpredpisa0">
    <w:name w:val="naslovpredpisa"/>
    <w:basedOn w:val="Navaden"/>
    <w:rsid w:val="007A7496"/>
    <w:pPr>
      <w:spacing w:before="100" w:beforeAutospacing="1" w:after="100" w:afterAutospacing="1" w:line="240" w:lineRule="auto"/>
    </w:pPr>
    <w:rPr>
      <w:rFonts w:ascii="Times New Roman" w:hAnsi="Times New Roman"/>
      <w:sz w:val="24"/>
      <w:lang w:val="sl-SI" w:eastAsia="sl-SI"/>
    </w:rPr>
  </w:style>
  <w:style w:type="paragraph" w:customStyle="1" w:styleId="len0">
    <w:name w:val="len"/>
    <w:basedOn w:val="Navaden"/>
    <w:rsid w:val="007A7496"/>
    <w:pPr>
      <w:spacing w:before="100" w:beforeAutospacing="1" w:after="100" w:afterAutospacing="1" w:line="240" w:lineRule="auto"/>
    </w:pPr>
    <w:rPr>
      <w:rFonts w:ascii="Times New Roman" w:hAnsi="Times New Roman"/>
      <w:sz w:val="24"/>
      <w:lang w:val="sl-SI" w:eastAsia="sl-SI"/>
    </w:rPr>
  </w:style>
  <w:style w:type="paragraph" w:customStyle="1" w:styleId="lennaslov">
    <w:name w:val="lennaslov"/>
    <w:basedOn w:val="Navaden"/>
    <w:rsid w:val="007A7496"/>
    <w:pPr>
      <w:spacing w:before="100" w:beforeAutospacing="1" w:after="100" w:afterAutospacing="1" w:line="240" w:lineRule="auto"/>
    </w:pPr>
    <w:rPr>
      <w:rFonts w:ascii="Times New Roman" w:hAnsi="Times New Roman"/>
      <w:sz w:val="24"/>
      <w:lang w:val="sl-SI" w:eastAsia="sl-SI"/>
    </w:rPr>
  </w:style>
  <w:style w:type="paragraph" w:customStyle="1" w:styleId="tevilnatoka">
    <w:name w:val="tevilnatoka"/>
    <w:basedOn w:val="Navaden"/>
    <w:rsid w:val="007A7496"/>
    <w:pPr>
      <w:spacing w:before="100" w:beforeAutospacing="1" w:after="100" w:afterAutospacing="1" w:line="240" w:lineRule="auto"/>
    </w:pPr>
    <w:rPr>
      <w:rFonts w:ascii="Times New Roman" w:hAnsi="Times New Roman"/>
      <w:sz w:val="24"/>
      <w:lang w:val="sl-SI" w:eastAsia="sl-SI"/>
    </w:rPr>
  </w:style>
  <w:style w:type="paragraph" w:customStyle="1" w:styleId="poglavje0">
    <w:name w:val="poglavje"/>
    <w:basedOn w:val="Navaden"/>
    <w:rsid w:val="007A7496"/>
    <w:pPr>
      <w:spacing w:before="100" w:beforeAutospacing="1" w:after="100" w:afterAutospacing="1" w:line="240" w:lineRule="auto"/>
    </w:pPr>
    <w:rPr>
      <w:rFonts w:ascii="Times New Roman" w:hAnsi="Times New Roman"/>
      <w:sz w:val="24"/>
      <w:lang w:val="sl-SI" w:eastAsia="sl-SI"/>
    </w:rPr>
  </w:style>
  <w:style w:type="paragraph" w:customStyle="1" w:styleId="tevilkanakoncupredpisa">
    <w:name w:val="tevilkanakoncupredpisa"/>
    <w:basedOn w:val="Navaden"/>
    <w:rsid w:val="007A7496"/>
    <w:pPr>
      <w:spacing w:before="100" w:beforeAutospacing="1" w:after="100" w:afterAutospacing="1" w:line="240" w:lineRule="auto"/>
    </w:pPr>
    <w:rPr>
      <w:rFonts w:ascii="Times New Roman" w:hAnsi="Times New Roman"/>
      <w:sz w:val="24"/>
      <w:lang w:val="sl-SI" w:eastAsia="sl-SI"/>
    </w:rPr>
  </w:style>
  <w:style w:type="paragraph" w:customStyle="1" w:styleId="datumsprejetja">
    <w:name w:val="datumsprejetja"/>
    <w:basedOn w:val="Navaden"/>
    <w:rsid w:val="007A7496"/>
    <w:pPr>
      <w:spacing w:before="100" w:beforeAutospacing="1" w:after="100" w:afterAutospacing="1" w:line="240" w:lineRule="auto"/>
    </w:pPr>
    <w:rPr>
      <w:rFonts w:ascii="Times New Roman" w:hAnsi="Times New Roman"/>
      <w:sz w:val="24"/>
      <w:lang w:val="sl-SI" w:eastAsia="sl-SI"/>
    </w:rPr>
  </w:style>
  <w:style w:type="paragraph" w:customStyle="1" w:styleId="eva">
    <w:name w:val="eva"/>
    <w:basedOn w:val="Navaden"/>
    <w:rsid w:val="007A7496"/>
    <w:pPr>
      <w:spacing w:before="100" w:beforeAutospacing="1" w:after="100" w:afterAutospacing="1" w:line="240" w:lineRule="auto"/>
    </w:pPr>
    <w:rPr>
      <w:rFonts w:ascii="Times New Roman" w:hAnsi="Times New Roman"/>
      <w:sz w:val="24"/>
      <w:lang w:val="sl-SI" w:eastAsia="sl-SI"/>
    </w:rPr>
  </w:style>
  <w:style w:type="paragraph" w:customStyle="1" w:styleId="imeorgana">
    <w:name w:val="imeorgana"/>
    <w:basedOn w:val="Navaden"/>
    <w:rsid w:val="007A7496"/>
    <w:pPr>
      <w:spacing w:before="100" w:beforeAutospacing="1" w:after="100" w:afterAutospacing="1" w:line="240" w:lineRule="auto"/>
    </w:pPr>
    <w:rPr>
      <w:rFonts w:ascii="Times New Roman" w:hAnsi="Times New Roman"/>
      <w:sz w:val="24"/>
      <w:lang w:val="sl-SI" w:eastAsia="sl-SI"/>
    </w:rPr>
  </w:style>
  <w:style w:type="paragraph" w:customStyle="1" w:styleId="podpisnik">
    <w:name w:val="podpisnik"/>
    <w:basedOn w:val="Navaden"/>
    <w:rsid w:val="007A7496"/>
    <w:pPr>
      <w:spacing w:before="100" w:beforeAutospacing="1" w:after="100" w:afterAutospacing="1" w:line="240" w:lineRule="auto"/>
    </w:pPr>
    <w:rPr>
      <w:rFonts w:ascii="Times New Roman" w:hAnsi="Times New Roman"/>
      <w:sz w:val="24"/>
      <w:lang w:val="sl-SI" w:eastAsia="sl-SI"/>
    </w:rPr>
  </w:style>
  <w:style w:type="paragraph" w:customStyle="1" w:styleId="nazivpodpisnika">
    <w:name w:val="nazivpodpisnika"/>
    <w:basedOn w:val="Navaden"/>
    <w:rsid w:val="007A7496"/>
    <w:pPr>
      <w:spacing w:before="100" w:beforeAutospacing="1" w:after="100" w:afterAutospacing="1" w:line="240" w:lineRule="auto"/>
    </w:pPr>
    <w:rPr>
      <w:rFonts w:ascii="Times New Roman" w:hAnsi="Times New Roman"/>
      <w:sz w:val="24"/>
      <w:lang w:val="sl-SI" w:eastAsia="sl-SI"/>
    </w:rPr>
  </w:style>
  <w:style w:type="paragraph" w:customStyle="1" w:styleId="naslovnadlenom">
    <w:name w:val="naslovnadlenom"/>
    <w:basedOn w:val="Navaden"/>
    <w:rsid w:val="007A7496"/>
    <w:pPr>
      <w:spacing w:before="100" w:beforeAutospacing="1" w:after="100" w:afterAutospacing="1" w:line="240" w:lineRule="auto"/>
    </w:pPr>
    <w:rPr>
      <w:rFonts w:ascii="Times New Roman" w:hAnsi="Times New Roman"/>
      <w:sz w:val="24"/>
      <w:lang w:val="sl-SI" w:eastAsia="sl-SI"/>
    </w:rPr>
  </w:style>
  <w:style w:type="paragraph" w:customStyle="1" w:styleId="oj-normal">
    <w:name w:val="oj-normal"/>
    <w:basedOn w:val="Navaden"/>
    <w:rsid w:val="007A7496"/>
    <w:pPr>
      <w:spacing w:before="100" w:beforeAutospacing="1" w:after="100" w:afterAutospacing="1" w:line="240" w:lineRule="auto"/>
    </w:pPr>
    <w:rPr>
      <w:rFonts w:ascii="Times New Roman" w:hAnsi="Times New Roman"/>
      <w:sz w:val="24"/>
      <w:lang w:val="sl-SI" w:eastAsia="sl-SI"/>
    </w:rPr>
  </w:style>
  <w:style w:type="paragraph" w:customStyle="1" w:styleId="alineazatevilnotoko">
    <w:name w:val="alineazatevilnotoko"/>
    <w:basedOn w:val="Navaden"/>
    <w:rsid w:val="007A7496"/>
    <w:pPr>
      <w:spacing w:before="100" w:beforeAutospacing="1" w:after="100" w:afterAutospacing="1" w:line="240" w:lineRule="auto"/>
    </w:pPr>
    <w:rPr>
      <w:rFonts w:ascii="Times New Roman" w:hAnsi="Times New Roman"/>
      <w:sz w:val="24"/>
      <w:lang w:val="sl-SI" w:eastAsia="sl-SI"/>
    </w:rPr>
  </w:style>
  <w:style w:type="character" w:styleId="Nerazreenaomemba">
    <w:name w:val="Unresolved Mention"/>
    <w:basedOn w:val="Privzetapisavaodstavka"/>
    <w:uiPriority w:val="99"/>
    <w:semiHidden/>
    <w:unhideWhenUsed/>
    <w:rsid w:val="00BA2C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3476">
      <w:bodyDiv w:val="1"/>
      <w:marLeft w:val="0"/>
      <w:marRight w:val="0"/>
      <w:marTop w:val="0"/>
      <w:marBottom w:val="0"/>
      <w:divBdr>
        <w:top w:val="none" w:sz="0" w:space="0" w:color="auto"/>
        <w:left w:val="none" w:sz="0" w:space="0" w:color="auto"/>
        <w:bottom w:val="none" w:sz="0" w:space="0" w:color="auto"/>
        <w:right w:val="none" w:sz="0" w:space="0" w:color="auto"/>
      </w:divBdr>
      <w:divsChild>
        <w:div w:id="67651873">
          <w:marLeft w:val="0"/>
          <w:marRight w:val="0"/>
          <w:marTop w:val="0"/>
          <w:marBottom w:val="0"/>
          <w:divBdr>
            <w:top w:val="none" w:sz="0" w:space="0" w:color="auto"/>
            <w:left w:val="none" w:sz="0" w:space="0" w:color="auto"/>
            <w:bottom w:val="none" w:sz="0" w:space="0" w:color="auto"/>
            <w:right w:val="none" w:sz="0" w:space="0" w:color="auto"/>
          </w:divBdr>
          <w:divsChild>
            <w:div w:id="252208489">
              <w:marLeft w:val="0"/>
              <w:marRight w:val="0"/>
              <w:marTop w:val="0"/>
              <w:marBottom w:val="0"/>
              <w:divBdr>
                <w:top w:val="none" w:sz="0" w:space="0" w:color="auto"/>
                <w:left w:val="none" w:sz="0" w:space="0" w:color="auto"/>
                <w:bottom w:val="none" w:sz="0" w:space="0" w:color="auto"/>
                <w:right w:val="none" w:sz="0" w:space="0" w:color="auto"/>
              </w:divBdr>
              <w:divsChild>
                <w:div w:id="1060594392">
                  <w:marLeft w:val="0"/>
                  <w:marRight w:val="0"/>
                  <w:marTop w:val="0"/>
                  <w:marBottom w:val="0"/>
                  <w:divBdr>
                    <w:top w:val="none" w:sz="0" w:space="0" w:color="auto"/>
                    <w:left w:val="none" w:sz="0" w:space="0" w:color="auto"/>
                    <w:bottom w:val="none" w:sz="0" w:space="0" w:color="auto"/>
                    <w:right w:val="none" w:sz="0" w:space="0" w:color="auto"/>
                  </w:divBdr>
                  <w:divsChild>
                    <w:div w:id="1607614837">
                      <w:marLeft w:val="-150"/>
                      <w:marRight w:val="0"/>
                      <w:marTop w:val="0"/>
                      <w:marBottom w:val="0"/>
                      <w:divBdr>
                        <w:top w:val="single" w:sz="6" w:space="0" w:color="9FC4D8"/>
                        <w:left w:val="single" w:sz="6" w:space="8" w:color="9FC4D8"/>
                        <w:bottom w:val="single" w:sz="24" w:space="0" w:color="9FC4D8"/>
                        <w:right w:val="single" w:sz="6" w:space="8" w:color="9FC4D8"/>
                      </w:divBdr>
                      <w:divsChild>
                        <w:div w:id="1233271251">
                          <w:marLeft w:val="0"/>
                          <w:marRight w:val="150"/>
                          <w:marTop w:val="0"/>
                          <w:marBottom w:val="0"/>
                          <w:divBdr>
                            <w:top w:val="none" w:sz="0" w:space="0" w:color="auto"/>
                            <w:left w:val="none" w:sz="0" w:space="0" w:color="auto"/>
                            <w:bottom w:val="none" w:sz="0" w:space="0" w:color="auto"/>
                            <w:right w:val="none" w:sz="0" w:space="0" w:color="auto"/>
                          </w:divBdr>
                          <w:divsChild>
                            <w:div w:id="1871525493">
                              <w:marLeft w:val="0"/>
                              <w:marRight w:val="0"/>
                              <w:marTop w:val="0"/>
                              <w:marBottom w:val="0"/>
                              <w:divBdr>
                                <w:top w:val="none" w:sz="0" w:space="0" w:color="auto"/>
                                <w:left w:val="none" w:sz="0" w:space="0" w:color="auto"/>
                                <w:bottom w:val="none" w:sz="0" w:space="0" w:color="auto"/>
                                <w:right w:val="none" w:sz="0" w:space="0" w:color="auto"/>
                              </w:divBdr>
                              <w:divsChild>
                                <w:div w:id="871919253">
                                  <w:marLeft w:val="0"/>
                                  <w:marRight w:val="0"/>
                                  <w:marTop w:val="0"/>
                                  <w:marBottom w:val="0"/>
                                  <w:divBdr>
                                    <w:top w:val="none" w:sz="0" w:space="0" w:color="auto"/>
                                    <w:left w:val="none" w:sz="0" w:space="0" w:color="auto"/>
                                    <w:bottom w:val="none" w:sz="0" w:space="0" w:color="auto"/>
                                    <w:right w:val="none" w:sz="0" w:space="0" w:color="auto"/>
                                  </w:divBdr>
                                  <w:divsChild>
                                    <w:div w:id="283655188">
                                      <w:marLeft w:val="0"/>
                                      <w:marRight w:val="0"/>
                                      <w:marTop w:val="0"/>
                                      <w:marBottom w:val="0"/>
                                      <w:divBdr>
                                        <w:top w:val="none" w:sz="0" w:space="0" w:color="auto"/>
                                        <w:left w:val="none" w:sz="0" w:space="0" w:color="auto"/>
                                        <w:bottom w:val="none" w:sz="0" w:space="0" w:color="auto"/>
                                        <w:right w:val="none" w:sz="0" w:space="0" w:color="auto"/>
                                      </w:divBdr>
                                      <w:divsChild>
                                        <w:div w:id="1120492010">
                                          <w:marLeft w:val="0"/>
                                          <w:marRight w:val="0"/>
                                          <w:marTop w:val="0"/>
                                          <w:marBottom w:val="0"/>
                                          <w:divBdr>
                                            <w:top w:val="none" w:sz="0" w:space="0" w:color="auto"/>
                                            <w:left w:val="none" w:sz="0" w:space="0" w:color="auto"/>
                                            <w:bottom w:val="none" w:sz="0" w:space="0" w:color="auto"/>
                                            <w:right w:val="none" w:sz="0" w:space="0" w:color="auto"/>
                                          </w:divBdr>
                                        </w:div>
                                      </w:divsChild>
                                    </w:div>
                                    <w:div w:id="393626278">
                                      <w:marLeft w:val="0"/>
                                      <w:marRight w:val="0"/>
                                      <w:marTop w:val="330"/>
                                      <w:marBottom w:val="0"/>
                                      <w:divBdr>
                                        <w:top w:val="none" w:sz="0" w:space="0" w:color="auto"/>
                                        <w:left w:val="none" w:sz="0" w:space="0" w:color="auto"/>
                                        <w:bottom w:val="none" w:sz="0" w:space="0" w:color="auto"/>
                                        <w:right w:val="none" w:sz="0" w:space="0" w:color="auto"/>
                                      </w:divBdr>
                                    </w:div>
                                    <w:div w:id="986713187">
                                      <w:marLeft w:val="0"/>
                                      <w:marRight w:val="0"/>
                                      <w:marTop w:val="0"/>
                                      <w:marBottom w:val="0"/>
                                      <w:divBdr>
                                        <w:top w:val="none" w:sz="0" w:space="0" w:color="auto"/>
                                        <w:left w:val="none" w:sz="0" w:space="0" w:color="auto"/>
                                        <w:bottom w:val="none" w:sz="0" w:space="0" w:color="auto"/>
                                        <w:right w:val="none" w:sz="0" w:space="0" w:color="auto"/>
                                      </w:divBdr>
                                      <w:divsChild>
                                        <w:div w:id="216599341">
                                          <w:marLeft w:val="0"/>
                                          <w:marRight w:val="0"/>
                                          <w:marTop w:val="0"/>
                                          <w:marBottom w:val="0"/>
                                          <w:divBdr>
                                            <w:top w:val="none" w:sz="0" w:space="0" w:color="auto"/>
                                            <w:left w:val="none" w:sz="0" w:space="0" w:color="auto"/>
                                            <w:bottom w:val="none" w:sz="0" w:space="0" w:color="auto"/>
                                            <w:right w:val="none" w:sz="0" w:space="0" w:color="auto"/>
                                          </w:divBdr>
                                        </w:div>
                                      </w:divsChild>
                                    </w:div>
                                    <w:div w:id="1989482172">
                                      <w:marLeft w:val="0"/>
                                      <w:marRight w:val="0"/>
                                      <w:marTop w:val="0"/>
                                      <w:marBottom w:val="0"/>
                                      <w:divBdr>
                                        <w:top w:val="none" w:sz="0" w:space="0" w:color="auto"/>
                                        <w:left w:val="none" w:sz="0" w:space="0" w:color="auto"/>
                                        <w:bottom w:val="none" w:sz="0" w:space="0" w:color="auto"/>
                                        <w:right w:val="none" w:sz="0" w:space="0" w:color="auto"/>
                                      </w:divBdr>
                                      <w:divsChild>
                                        <w:div w:id="17908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747856">
      <w:bodyDiv w:val="1"/>
      <w:marLeft w:val="0"/>
      <w:marRight w:val="0"/>
      <w:marTop w:val="0"/>
      <w:marBottom w:val="0"/>
      <w:divBdr>
        <w:top w:val="none" w:sz="0" w:space="0" w:color="auto"/>
        <w:left w:val="none" w:sz="0" w:space="0" w:color="auto"/>
        <w:bottom w:val="none" w:sz="0" w:space="0" w:color="auto"/>
        <w:right w:val="none" w:sz="0" w:space="0" w:color="auto"/>
      </w:divBdr>
    </w:div>
    <w:div w:id="167137479">
      <w:bodyDiv w:val="1"/>
      <w:marLeft w:val="0"/>
      <w:marRight w:val="0"/>
      <w:marTop w:val="0"/>
      <w:marBottom w:val="0"/>
      <w:divBdr>
        <w:top w:val="none" w:sz="0" w:space="0" w:color="auto"/>
        <w:left w:val="none" w:sz="0" w:space="0" w:color="auto"/>
        <w:bottom w:val="none" w:sz="0" w:space="0" w:color="auto"/>
        <w:right w:val="none" w:sz="0" w:space="0" w:color="auto"/>
      </w:divBdr>
      <w:divsChild>
        <w:div w:id="104468828">
          <w:marLeft w:val="0"/>
          <w:marRight w:val="0"/>
          <w:marTop w:val="0"/>
          <w:marBottom w:val="0"/>
          <w:divBdr>
            <w:top w:val="none" w:sz="0" w:space="0" w:color="auto"/>
            <w:left w:val="none" w:sz="0" w:space="0" w:color="auto"/>
            <w:bottom w:val="none" w:sz="0" w:space="0" w:color="auto"/>
            <w:right w:val="none" w:sz="0" w:space="0" w:color="auto"/>
          </w:divBdr>
          <w:divsChild>
            <w:div w:id="1655523283">
              <w:marLeft w:val="0"/>
              <w:marRight w:val="0"/>
              <w:marTop w:val="0"/>
              <w:marBottom w:val="0"/>
              <w:divBdr>
                <w:top w:val="none" w:sz="0" w:space="0" w:color="auto"/>
                <w:left w:val="none" w:sz="0" w:space="0" w:color="auto"/>
                <w:bottom w:val="none" w:sz="0" w:space="0" w:color="auto"/>
                <w:right w:val="none" w:sz="0" w:space="0" w:color="auto"/>
              </w:divBdr>
              <w:divsChild>
                <w:div w:id="1105003703">
                  <w:marLeft w:val="0"/>
                  <w:marRight w:val="0"/>
                  <w:marTop w:val="0"/>
                  <w:marBottom w:val="0"/>
                  <w:divBdr>
                    <w:top w:val="none" w:sz="0" w:space="0" w:color="auto"/>
                    <w:left w:val="none" w:sz="0" w:space="0" w:color="auto"/>
                    <w:bottom w:val="none" w:sz="0" w:space="0" w:color="auto"/>
                    <w:right w:val="none" w:sz="0" w:space="0" w:color="auto"/>
                  </w:divBdr>
                  <w:divsChild>
                    <w:div w:id="591282926">
                      <w:marLeft w:val="-150"/>
                      <w:marRight w:val="0"/>
                      <w:marTop w:val="0"/>
                      <w:marBottom w:val="0"/>
                      <w:divBdr>
                        <w:top w:val="single" w:sz="6" w:space="0" w:color="9FC4D8"/>
                        <w:left w:val="single" w:sz="6" w:space="8" w:color="9FC4D8"/>
                        <w:bottom w:val="single" w:sz="24" w:space="0" w:color="9FC4D8"/>
                        <w:right w:val="single" w:sz="6" w:space="8" w:color="9FC4D8"/>
                      </w:divBdr>
                      <w:divsChild>
                        <w:div w:id="2096856574">
                          <w:marLeft w:val="0"/>
                          <w:marRight w:val="150"/>
                          <w:marTop w:val="0"/>
                          <w:marBottom w:val="0"/>
                          <w:divBdr>
                            <w:top w:val="none" w:sz="0" w:space="0" w:color="auto"/>
                            <w:left w:val="none" w:sz="0" w:space="0" w:color="auto"/>
                            <w:bottom w:val="none" w:sz="0" w:space="0" w:color="auto"/>
                            <w:right w:val="none" w:sz="0" w:space="0" w:color="auto"/>
                          </w:divBdr>
                          <w:divsChild>
                            <w:div w:id="1496335171">
                              <w:marLeft w:val="0"/>
                              <w:marRight w:val="0"/>
                              <w:marTop w:val="0"/>
                              <w:marBottom w:val="0"/>
                              <w:divBdr>
                                <w:top w:val="none" w:sz="0" w:space="0" w:color="auto"/>
                                <w:left w:val="none" w:sz="0" w:space="0" w:color="auto"/>
                                <w:bottom w:val="none" w:sz="0" w:space="0" w:color="auto"/>
                                <w:right w:val="none" w:sz="0" w:space="0" w:color="auto"/>
                              </w:divBdr>
                              <w:divsChild>
                                <w:div w:id="2011981747">
                                  <w:marLeft w:val="0"/>
                                  <w:marRight w:val="0"/>
                                  <w:marTop w:val="0"/>
                                  <w:marBottom w:val="0"/>
                                  <w:divBdr>
                                    <w:top w:val="none" w:sz="0" w:space="0" w:color="auto"/>
                                    <w:left w:val="none" w:sz="0" w:space="0" w:color="auto"/>
                                    <w:bottom w:val="none" w:sz="0" w:space="0" w:color="auto"/>
                                    <w:right w:val="none" w:sz="0" w:space="0" w:color="auto"/>
                                  </w:divBdr>
                                  <w:divsChild>
                                    <w:div w:id="66809801">
                                      <w:marLeft w:val="0"/>
                                      <w:marRight w:val="0"/>
                                      <w:marTop w:val="0"/>
                                      <w:marBottom w:val="0"/>
                                      <w:divBdr>
                                        <w:top w:val="none" w:sz="0" w:space="0" w:color="auto"/>
                                        <w:left w:val="none" w:sz="0" w:space="0" w:color="auto"/>
                                        <w:bottom w:val="none" w:sz="0" w:space="0" w:color="auto"/>
                                        <w:right w:val="none" w:sz="0" w:space="0" w:color="auto"/>
                                      </w:divBdr>
                                      <w:divsChild>
                                        <w:div w:id="580338269">
                                          <w:marLeft w:val="0"/>
                                          <w:marRight w:val="0"/>
                                          <w:marTop w:val="0"/>
                                          <w:marBottom w:val="0"/>
                                          <w:divBdr>
                                            <w:top w:val="none" w:sz="0" w:space="0" w:color="auto"/>
                                            <w:left w:val="none" w:sz="0" w:space="0" w:color="auto"/>
                                            <w:bottom w:val="none" w:sz="0" w:space="0" w:color="auto"/>
                                            <w:right w:val="none" w:sz="0" w:space="0" w:color="auto"/>
                                          </w:divBdr>
                                        </w:div>
                                      </w:divsChild>
                                    </w:div>
                                    <w:div w:id="224148234">
                                      <w:marLeft w:val="0"/>
                                      <w:marRight w:val="0"/>
                                      <w:marTop w:val="0"/>
                                      <w:marBottom w:val="0"/>
                                      <w:divBdr>
                                        <w:top w:val="none" w:sz="0" w:space="0" w:color="auto"/>
                                        <w:left w:val="none" w:sz="0" w:space="0" w:color="auto"/>
                                        <w:bottom w:val="none" w:sz="0" w:space="0" w:color="auto"/>
                                        <w:right w:val="none" w:sz="0" w:space="0" w:color="auto"/>
                                      </w:divBdr>
                                      <w:divsChild>
                                        <w:div w:id="551575479">
                                          <w:marLeft w:val="0"/>
                                          <w:marRight w:val="0"/>
                                          <w:marTop w:val="0"/>
                                          <w:marBottom w:val="0"/>
                                          <w:divBdr>
                                            <w:top w:val="none" w:sz="0" w:space="0" w:color="auto"/>
                                            <w:left w:val="none" w:sz="0" w:space="0" w:color="auto"/>
                                            <w:bottom w:val="none" w:sz="0" w:space="0" w:color="auto"/>
                                            <w:right w:val="none" w:sz="0" w:space="0" w:color="auto"/>
                                          </w:divBdr>
                                        </w:div>
                                      </w:divsChild>
                                    </w:div>
                                    <w:div w:id="1213035993">
                                      <w:marLeft w:val="0"/>
                                      <w:marRight w:val="0"/>
                                      <w:marTop w:val="0"/>
                                      <w:marBottom w:val="0"/>
                                      <w:divBdr>
                                        <w:top w:val="none" w:sz="0" w:space="0" w:color="auto"/>
                                        <w:left w:val="none" w:sz="0" w:space="0" w:color="auto"/>
                                        <w:bottom w:val="none" w:sz="0" w:space="0" w:color="auto"/>
                                        <w:right w:val="none" w:sz="0" w:space="0" w:color="auto"/>
                                      </w:divBdr>
                                      <w:divsChild>
                                        <w:div w:id="445000305">
                                          <w:marLeft w:val="0"/>
                                          <w:marRight w:val="0"/>
                                          <w:marTop w:val="0"/>
                                          <w:marBottom w:val="0"/>
                                          <w:divBdr>
                                            <w:top w:val="none" w:sz="0" w:space="0" w:color="auto"/>
                                            <w:left w:val="none" w:sz="0" w:space="0" w:color="auto"/>
                                            <w:bottom w:val="none" w:sz="0" w:space="0" w:color="auto"/>
                                            <w:right w:val="none" w:sz="0" w:space="0" w:color="auto"/>
                                          </w:divBdr>
                                        </w:div>
                                      </w:divsChild>
                                    </w:div>
                                    <w:div w:id="170217178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1163">
      <w:bodyDiv w:val="1"/>
      <w:marLeft w:val="0"/>
      <w:marRight w:val="0"/>
      <w:marTop w:val="0"/>
      <w:marBottom w:val="0"/>
      <w:divBdr>
        <w:top w:val="none" w:sz="0" w:space="0" w:color="auto"/>
        <w:left w:val="none" w:sz="0" w:space="0" w:color="auto"/>
        <w:bottom w:val="none" w:sz="0" w:space="0" w:color="auto"/>
        <w:right w:val="none" w:sz="0" w:space="0" w:color="auto"/>
      </w:divBdr>
      <w:divsChild>
        <w:div w:id="1449012671">
          <w:marLeft w:val="0"/>
          <w:marRight w:val="0"/>
          <w:marTop w:val="0"/>
          <w:marBottom w:val="0"/>
          <w:divBdr>
            <w:top w:val="none" w:sz="0" w:space="0" w:color="auto"/>
            <w:left w:val="none" w:sz="0" w:space="0" w:color="auto"/>
            <w:bottom w:val="none" w:sz="0" w:space="0" w:color="auto"/>
            <w:right w:val="none" w:sz="0" w:space="0" w:color="auto"/>
          </w:divBdr>
          <w:divsChild>
            <w:div w:id="1286544325">
              <w:marLeft w:val="0"/>
              <w:marRight w:val="0"/>
              <w:marTop w:val="0"/>
              <w:marBottom w:val="0"/>
              <w:divBdr>
                <w:top w:val="none" w:sz="0" w:space="0" w:color="auto"/>
                <w:left w:val="none" w:sz="0" w:space="0" w:color="auto"/>
                <w:bottom w:val="none" w:sz="0" w:space="0" w:color="auto"/>
                <w:right w:val="none" w:sz="0" w:space="0" w:color="auto"/>
              </w:divBdr>
              <w:divsChild>
                <w:div w:id="443503807">
                  <w:marLeft w:val="0"/>
                  <w:marRight w:val="0"/>
                  <w:marTop w:val="0"/>
                  <w:marBottom w:val="0"/>
                  <w:divBdr>
                    <w:top w:val="none" w:sz="0" w:space="0" w:color="auto"/>
                    <w:left w:val="none" w:sz="0" w:space="0" w:color="auto"/>
                    <w:bottom w:val="none" w:sz="0" w:space="0" w:color="auto"/>
                    <w:right w:val="none" w:sz="0" w:space="0" w:color="auto"/>
                  </w:divBdr>
                  <w:divsChild>
                    <w:div w:id="281501410">
                      <w:marLeft w:val="-150"/>
                      <w:marRight w:val="0"/>
                      <w:marTop w:val="0"/>
                      <w:marBottom w:val="0"/>
                      <w:divBdr>
                        <w:top w:val="single" w:sz="6" w:space="0" w:color="9FC4D8"/>
                        <w:left w:val="single" w:sz="6" w:space="8" w:color="9FC4D8"/>
                        <w:bottom w:val="single" w:sz="24" w:space="0" w:color="9FC4D8"/>
                        <w:right w:val="single" w:sz="6" w:space="8" w:color="9FC4D8"/>
                      </w:divBdr>
                      <w:divsChild>
                        <w:div w:id="1060831409">
                          <w:marLeft w:val="0"/>
                          <w:marRight w:val="150"/>
                          <w:marTop w:val="0"/>
                          <w:marBottom w:val="0"/>
                          <w:divBdr>
                            <w:top w:val="none" w:sz="0" w:space="0" w:color="auto"/>
                            <w:left w:val="none" w:sz="0" w:space="0" w:color="auto"/>
                            <w:bottom w:val="none" w:sz="0" w:space="0" w:color="auto"/>
                            <w:right w:val="none" w:sz="0" w:space="0" w:color="auto"/>
                          </w:divBdr>
                          <w:divsChild>
                            <w:div w:id="1429157193">
                              <w:marLeft w:val="0"/>
                              <w:marRight w:val="0"/>
                              <w:marTop w:val="0"/>
                              <w:marBottom w:val="0"/>
                              <w:divBdr>
                                <w:top w:val="none" w:sz="0" w:space="0" w:color="auto"/>
                                <w:left w:val="none" w:sz="0" w:space="0" w:color="auto"/>
                                <w:bottom w:val="none" w:sz="0" w:space="0" w:color="auto"/>
                                <w:right w:val="none" w:sz="0" w:space="0" w:color="auto"/>
                              </w:divBdr>
                              <w:divsChild>
                                <w:div w:id="1209606248">
                                  <w:marLeft w:val="0"/>
                                  <w:marRight w:val="0"/>
                                  <w:marTop w:val="0"/>
                                  <w:marBottom w:val="0"/>
                                  <w:divBdr>
                                    <w:top w:val="none" w:sz="0" w:space="0" w:color="auto"/>
                                    <w:left w:val="none" w:sz="0" w:space="0" w:color="auto"/>
                                    <w:bottom w:val="none" w:sz="0" w:space="0" w:color="auto"/>
                                    <w:right w:val="none" w:sz="0" w:space="0" w:color="auto"/>
                                  </w:divBdr>
                                  <w:divsChild>
                                    <w:div w:id="66347894">
                                      <w:marLeft w:val="0"/>
                                      <w:marRight w:val="0"/>
                                      <w:marTop w:val="330"/>
                                      <w:marBottom w:val="0"/>
                                      <w:divBdr>
                                        <w:top w:val="none" w:sz="0" w:space="0" w:color="auto"/>
                                        <w:left w:val="none" w:sz="0" w:space="0" w:color="auto"/>
                                        <w:bottom w:val="none" w:sz="0" w:space="0" w:color="auto"/>
                                        <w:right w:val="none" w:sz="0" w:space="0" w:color="auto"/>
                                      </w:divBdr>
                                    </w:div>
                                    <w:div w:id="294651669">
                                      <w:marLeft w:val="0"/>
                                      <w:marRight w:val="0"/>
                                      <w:marTop w:val="0"/>
                                      <w:marBottom w:val="0"/>
                                      <w:divBdr>
                                        <w:top w:val="none" w:sz="0" w:space="0" w:color="auto"/>
                                        <w:left w:val="none" w:sz="0" w:space="0" w:color="auto"/>
                                        <w:bottom w:val="none" w:sz="0" w:space="0" w:color="auto"/>
                                        <w:right w:val="none" w:sz="0" w:space="0" w:color="auto"/>
                                      </w:divBdr>
                                      <w:divsChild>
                                        <w:div w:id="1300649056">
                                          <w:marLeft w:val="0"/>
                                          <w:marRight w:val="0"/>
                                          <w:marTop w:val="0"/>
                                          <w:marBottom w:val="0"/>
                                          <w:divBdr>
                                            <w:top w:val="none" w:sz="0" w:space="0" w:color="auto"/>
                                            <w:left w:val="none" w:sz="0" w:space="0" w:color="auto"/>
                                            <w:bottom w:val="none" w:sz="0" w:space="0" w:color="auto"/>
                                            <w:right w:val="none" w:sz="0" w:space="0" w:color="auto"/>
                                          </w:divBdr>
                                        </w:div>
                                      </w:divsChild>
                                    </w:div>
                                    <w:div w:id="498615326">
                                      <w:marLeft w:val="0"/>
                                      <w:marRight w:val="0"/>
                                      <w:marTop w:val="0"/>
                                      <w:marBottom w:val="0"/>
                                      <w:divBdr>
                                        <w:top w:val="none" w:sz="0" w:space="0" w:color="auto"/>
                                        <w:left w:val="none" w:sz="0" w:space="0" w:color="auto"/>
                                        <w:bottom w:val="none" w:sz="0" w:space="0" w:color="auto"/>
                                        <w:right w:val="none" w:sz="0" w:space="0" w:color="auto"/>
                                      </w:divBdr>
                                      <w:divsChild>
                                        <w:div w:id="1446079610">
                                          <w:marLeft w:val="0"/>
                                          <w:marRight w:val="0"/>
                                          <w:marTop w:val="120"/>
                                          <w:marBottom w:val="0"/>
                                          <w:divBdr>
                                            <w:top w:val="none" w:sz="0" w:space="0" w:color="auto"/>
                                            <w:left w:val="none" w:sz="0" w:space="0" w:color="auto"/>
                                            <w:bottom w:val="none" w:sz="0" w:space="0" w:color="auto"/>
                                            <w:right w:val="none" w:sz="0" w:space="0" w:color="auto"/>
                                          </w:divBdr>
                                        </w:div>
                                      </w:divsChild>
                                    </w:div>
                                    <w:div w:id="1622373867">
                                      <w:marLeft w:val="0"/>
                                      <w:marRight w:val="0"/>
                                      <w:marTop w:val="0"/>
                                      <w:marBottom w:val="0"/>
                                      <w:divBdr>
                                        <w:top w:val="none" w:sz="0" w:space="0" w:color="auto"/>
                                        <w:left w:val="none" w:sz="0" w:space="0" w:color="auto"/>
                                        <w:bottom w:val="none" w:sz="0" w:space="0" w:color="auto"/>
                                        <w:right w:val="none" w:sz="0" w:space="0" w:color="auto"/>
                                      </w:divBdr>
                                      <w:divsChild>
                                        <w:div w:id="1548957115">
                                          <w:marLeft w:val="0"/>
                                          <w:marRight w:val="0"/>
                                          <w:marTop w:val="0"/>
                                          <w:marBottom w:val="0"/>
                                          <w:divBdr>
                                            <w:top w:val="none" w:sz="0" w:space="0" w:color="auto"/>
                                            <w:left w:val="none" w:sz="0" w:space="0" w:color="auto"/>
                                            <w:bottom w:val="none" w:sz="0" w:space="0" w:color="auto"/>
                                            <w:right w:val="none" w:sz="0" w:space="0" w:color="auto"/>
                                          </w:divBdr>
                                        </w:div>
                                      </w:divsChild>
                                    </w:div>
                                    <w:div w:id="1725323746">
                                      <w:marLeft w:val="0"/>
                                      <w:marRight w:val="0"/>
                                      <w:marTop w:val="0"/>
                                      <w:marBottom w:val="0"/>
                                      <w:divBdr>
                                        <w:top w:val="none" w:sz="0" w:space="0" w:color="auto"/>
                                        <w:left w:val="none" w:sz="0" w:space="0" w:color="auto"/>
                                        <w:bottom w:val="none" w:sz="0" w:space="0" w:color="auto"/>
                                        <w:right w:val="none" w:sz="0" w:space="0" w:color="auto"/>
                                      </w:divBdr>
                                      <w:divsChild>
                                        <w:div w:id="15108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51508">
      <w:bodyDiv w:val="1"/>
      <w:marLeft w:val="0"/>
      <w:marRight w:val="0"/>
      <w:marTop w:val="0"/>
      <w:marBottom w:val="0"/>
      <w:divBdr>
        <w:top w:val="none" w:sz="0" w:space="0" w:color="auto"/>
        <w:left w:val="none" w:sz="0" w:space="0" w:color="auto"/>
        <w:bottom w:val="none" w:sz="0" w:space="0" w:color="auto"/>
        <w:right w:val="none" w:sz="0" w:space="0" w:color="auto"/>
      </w:divBdr>
    </w:div>
    <w:div w:id="241378943">
      <w:bodyDiv w:val="1"/>
      <w:marLeft w:val="0"/>
      <w:marRight w:val="0"/>
      <w:marTop w:val="0"/>
      <w:marBottom w:val="0"/>
      <w:divBdr>
        <w:top w:val="none" w:sz="0" w:space="0" w:color="auto"/>
        <w:left w:val="none" w:sz="0" w:space="0" w:color="auto"/>
        <w:bottom w:val="none" w:sz="0" w:space="0" w:color="auto"/>
        <w:right w:val="none" w:sz="0" w:space="0" w:color="auto"/>
      </w:divBdr>
    </w:div>
    <w:div w:id="262306895">
      <w:bodyDiv w:val="1"/>
      <w:marLeft w:val="0"/>
      <w:marRight w:val="0"/>
      <w:marTop w:val="0"/>
      <w:marBottom w:val="0"/>
      <w:divBdr>
        <w:top w:val="none" w:sz="0" w:space="0" w:color="auto"/>
        <w:left w:val="none" w:sz="0" w:space="0" w:color="auto"/>
        <w:bottom w:val="none" w:sz="0" w:space="0" w:color="auto"/>
        <w:right w:val="none" w:sz="0" w:space="0" w:color="auto"/>
      </w:divBdr>
    </w:div>
    <w:div w:id="293948172">
      <w:bodyDiv w:val="1"/>
      <w:marLeft w:val="0"/>
      <w:marRight w:val="0"/>
      <w:marTop w:val="0"/>
      <w:marBottom w:val="0"/>
      <w:divBdr>
        <w:top w:val="none" w:sz="0" w:space="0" w:color="auto"/>
        <w:left w:val="none" w:sz="0" w:space="0" w:color="auto"/>
        <w:bottom w:val="none" w:sz="0" w:space="0" w:color="auto"/>
        <w:right w:val="none" w:sz="0" w:space="0" w:color="auto"/>
      </w:divBdr>
      <w:divsChild>
        <w:div w:id="94833945">
          <w:marLeft w:val="0"/>
          <w:marRight w:val="0"/>
          <w:marTop w:val="0"/>
          <w:marBottom w:val="0"/>
          <w:divBdr>
            <w:top w:val="none" w:sz="0" w:space="0" w:color="auto"/>
            <w:left w:val="none" w:sz="0" w:space="0" w:color="auto"/>
            <w:bottom w:val="none" w:sz="0" w:space="0" w:color="auto"/>
            <w:right w:val="none" w:sz="0" w:space="0" w:color="auto"/>
          </w:divBdr>
          <w:divsChild>
            <w:div w:id="1796828791">
              <w:marLeft w:val="0"/>
              <w:marRight w:val="0"/>
              <w:marTop w:val="0"/>
              <w:marBottom w:val="0"/>
              <w:divBdr>
                <w:top w:val="none" w:sz="0" w:space="0" w:color="auto"/>
                <w:left w:val="none" w:sz="0" w:space="0" w:color="auto"/>
                <w:bottom w:val="none" w:sz="0" w:space="0" w:color="auto"/>
                <w:right w:val="none" w:sz="0" w:space="0" w:color="auto"/>
              </w:divBdr>
              <w:divsChild>
                <w:div w:id="1543246251">
                  <w:marLeft w:val="0"/>
                  <w:marRight w:val="0"/>
                  <w:marTop w:val="0"/>
                  <w:marBottom w:val="0"/>
                  <w:divBdr>
                    <w:top w:val="none" w:sz="0" w:space="0" w:color="auto"/>
                    <w:left w:val="none" w:sz="0" w:space="0" w:color="auto"/>
                    <w:bottom w:val="none" w:sz="0" w:space="0" w:color="auto"/>
                    <w:right w:val="none" w:sz="0" w:space="0" w:color="auto"/>
                  </w:divBdr>
                  <w:divsChild>
                    <w:div w:id="89157672">
                      <w:marLeft w:val="-150"/>
                      <w:marRight w:val="0"/>
                      <w:marTop w:val="0"/>
                      <w:marBottom w:val="0"/>
                      <w:divBdr>
                        <w:top w:val="single" w:sz="6" w:space="0" w:color="9FC4D8"/>
                        <w:left w:val="single" w:sz="6" w:space="8" w:color="9FC4D8"/>
                        <w:bottom w:val="single" w:sz="24" w:space="0" w:color="9FC4D8"/>
                        <w:right w:val="single" w:sz="6" w:space="8" w:color="9FC4D8"/>
                      </w:divBdr>
                      <w:divsChild>
                        <w:div w:id="257375056">
                          <w:marLeft w:val="0"/>
                          <w:marRight w:val="150"/>
                          <w:marTop w:val="0"/>
                          <w:marBottom w:val="0"/>
                          <w:divBdr>
                            <w:top w:val="none" w:sz="0" w:space="0" w:color="auto"/>
                            <w:left w:val="none" w:sz="0" w:space="0" w:color="auto"/>
                            <w:bottom w:val="none" w:sz="0" w:space="0" w:color="auto"/>
                            <w:right w:val="none" w:sz="0" w:space="0" w:color="auto"/>
                          </w:divBdr>
                          <w:divsChild>
                            <w:div w:id="137502419">
                              <w:marLeft w:val="0"/>
                              <w:marRight w:val="0"/>
                              <w:marTop w:val="0"/>
                              <w:marBottom w:val="0"/>
                              <w:divBdr>
                                <w:top w:val="none" w:sz="0" w:space="0" w:color="auto"/>
                                <w:left w:val="none" w:sz="0" w:space="0" w:color="auto"/>
                                <w:bottom w:val="none" w:sz="0" w:space="0" w:color="auto"/>
                                <w:right w:val="none" w:sz="0" w:space="0" w:color="auto"/>
                              </w:divBdr>
                              <w:divsChild>
                                <w:div w:id="1198198568">
                                  <w:marLeft w:val="0"/>
                                  <w:marRight w:val="0"/>
                                  <w:marTop w:val="0"/>
                                  <w:marBottom w:val="0"/>
                                  <w:divBdr>
                                    <w:top w:val="none" w:sz="0" w:space="0" w:color="auto"/>
                                    <w:left w:val="none" w:sz="0" w:space="0" w:color="auto"/>
                                    <w:bottom w:val="none" w:sz="0" w:space="0" w:color="auto"/>
                                    <w:right w:val="none" w:sz="0" w:space="0" w:color="auto"/>
                                  </w:divBdr>
                                  <w:divsChild>
                                    <w:div w:id="894245883">
                                      <w:marLeft w:val="0"/>
                                      <w:marRight w:val="0"/>
                                      <w:marTop w:val="0"/>
                                      <w:marBottom w:val="0"/>
                                      <w:divBdr>
                                        <w:top w:val="none" w:sz="0" w:space="0" w:color="auto"/>
                                        <w:left w:val="none" w:sz="0" w:space="0" w:color="auto"/>
                                        <w:bottom w:val="none" w:sz="0" w:space="0" w:color="auto"/>
                                        <w:right w:val="none" w:sz="0" w:space="0" w:color="auto"/>
                                      </w:divBdr>
                                      <w:divsChild>
                                        <w:div w:id="456798676">
                                          <w:marLeft w:val="0"/>
                                          <w:marRight w:val="0"/>
                                          <w:marTop w:val="0"/>
                                          <w:marBottom w:val="0"/>
                                          <w:divBdr>
                                            <w:top w:val="none" w:sz="0" w:space="0" w:color="auto"/>
                                            <w:left w:val="none" w:sz="0" w:space="0" w:color="auto"/>
                                            <w:bottom w:val="none" w:sz="0" w:space="0" w:color="auto"/>
                                            <w:right w:val="none" w:sz="0" w:space="0" w:color="auto"/>
                                          </w:divBdr>
                                        </w:div>
                                      </w:divsChild>
                                    </w:div>
                                    <w:div w:id="1359693517">
                                      <w:marLeft w:val="0"/>
                                      <w:marRight w:val="0"/>
                                      <w:marTop w:val="0"/>
                                      <w:marBottom w:val="0"/>
                                      <w:divBdr>
                                        <w:top w:val="none" w:sz="0" w:space="0" w:color="auto"/>
                                        <w:left w:val="none" w:sz="0" w:space="0" w:color="auto"/>
                                        <w:bottom w:val="none" w:sz="0" w:space="0" w:color="auto"/>
                                        <w:right w:val="none" w:sz="0" w:space="0" w:color="auto"/>
                                      </w:divBdr>
                                      <w:divsChild>
                                        <w:div w:id="997534381">
                                          <w:marLeft w:val="0"/>
                                          <w:marRight w:val="0"/>
                                          <w:marTop w:val="0"/>
                                          <w:marBottom w:val="0"/>
                                          <w:divBdr>
                                            <w:top w:val="none" w:sz="0" w:space="0" w:color="auto"/>
                                            <w:left w:val="none" w:sz="0" w:space="0" w:color="auto"/>
                                            <w:bottom w:val="none" w:sz="0" w:space="0" w:color="auto"/>
                                            <w:right w:val="none" w:sz="0" w:space="0" w:color="auto"/>
                                          </w:divBdr>
                                        </w:div>
                                      </w:divsChild>
                                    </w:div>
                                    <w:div w:id="1918124941">
                                      <w:marLeft w:val="0"/>
                                      <w:marRight w:val="0"/>
                                      <w:marTop w:val="0"/>
                                      <w:marBottom w:val="0"/>
                                      <w:divBdr>
                                        <w:top w:val="none" w:sz="0" w:space="0" w:color="auto"/>
                                        <w:left w:val="none" w:sz="0" w:space="0" w:color="auto"/>
                                        <w:bottom w:val="none" w:sz="0" w:space="0" w:color="auto"/>
                                        <w:right w:val="none" w:sz="0" w:space="0" w:color="auto"/>
                                      </w:divBdr>
                                      <w:divsChild>
                                        <w:div w:id="853039073">
                                          <w:marLeft w:val="0"/>
                                          <w:marRight w:val="0"/>
                                          <w:marTop w:val="0"/>
                                          <w:marBottom w:val="0"/>
                                          <w:divBdr>
                                            <w:top w:val="none" w:sz="0" w:space="0" w:color="auto"/>
                                            <w:left w:val="none" w:sz="0" w:space="0" w:color="auto"/>
                                            <w:bottom w:val="none" w:sz="0" w:space="0" w:color="auto"/>
                                            <w:right w:val="none" w:sz="0" w:space="0" w:color="auto"/>
                                          </w:divBdr>
                                        </w:div>
                                      </w:divsChild>
                                    </w:div>
                                    <w:div w:id="1936472259">
                                      <w:marLeft w:val="0"/>
                                      <w:marRight w:val="0"/>
                                      <w:marTop w:val="0"/>
                                      <w:marBottom w:val="0"/>
                                      <w:divBdr>
                                        <w:top w:val="none" w:sz="0" w:space="0" w:color="auto"/>
                                        <w:left w:val="none" w:sz="0" w:space="0" w:color="auto"/>
                                        <w:bottom w:val="none" w:sz="0" w:space="0" w:color="auto"/>
                                        <w:right w:val="none" w:sz="0" w:space="0" w:color="auto"/>
                                      </w:divBdr>
                                      <w:divsChild>
                                        <w:div w:id="1810056029">
                                          <w:marLeft w:val="0"/>
                                          <w:marRight w:val="0"/>
                                          <w:marTop w:val="120"/>
                                          <w:marBottom w:val="0"/>
                                          <w:divBdr>
                                            <w:top w:val="none" w:sz="0" w:space="0" w:color="auto"/>
                                            <w:left w:val="none" w:sz="0" w:space="0" w:color="auto"/>
                                            <w:bottom w:val="none" w:sz="0" w:space="0" w:color="auto"/>
                                            <w:right w:val="none" w:sz="0" w:space="0" w:color="auto"/>
                                          </w:divBdr>
                                        </w:div>
                                      </w:divsChild>
                                    </w:div>
                                    <w:div w:id="211289602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489814">
      <w:bodyDiv w:val="1"/>
      <w:marLeft w:val="0"/>
      <w:marRight w:val="0"/>
      <w:marTop w:val="0"/>
      <w:marBottom w:val="0"/>
      <w:divBdr>
        <w:top w:val="none" w:sz="0" w:space="0" w:color="auto"/>
        <w:left w:val="none" w:sz="0" w:space="0" w:color="auto"/>
        <w:bottom w:val="none" w:sz="0" w:space="0" w:color="auto"/>
        <w:right w:val="none" w:sz="0" w:space="0" w:color="auto"/>
      </w:divBdr>
    </w:div>
    <w:div w:id="601034040">
      <w:bodyDiv w:val="1"/>
      <w:marLeft w:val="0"/>
      <w:marRight w:val="0"/>
      <w:marTop w:val="0"/>
      <w:marBottom w:val="0"/>
      <w:divBdr>
        <w:top w:val="none" w:sz="0" w:space="0" w:color="auto"/>
        <w:left w:val="none" w:sz="0" w:space="0" w:color="auto"/>
        <w:bottom w:val="none" w:sz="0" w:space="0" w:color="auto"/>
        <w:right w:val="none" w:sz="0" w:space="0" w:color="auto"/>
      </w:divBdr>
    </w:div>
    <w:div w:id="625427923">
      <w:bodyDiv w:val="1"/>
      <w:marLeft w:val="0"/>
      <w:marRight w:val="0"/>
      <w:marTop w:val="0"/>
      <w:marBottom w:val="0"/>
      <w:divBdr>
        <w:top w:val="none" w:sz="0" w:space="0" w:color="auto"/>
        <w:left w:val="none" w:sz="0" w:space="0" w:color="auto"/>
        <w:bottom w:val="none" w:sz="0" w:space="0" w:color="auto"/>
        <w:right w:val="none" w:sz="0" w:space="0" w:color="auto"/>
      </w:divBdr>
    </w:div>
    <w:div w:id="634020666">
      <w:bodyDiv w:val="1"/>
      <w:marLeft w:val="0"/>
      <w:marRight w:val="0"/>
      <w:marTop w:val="0"/>
      <w:marBottom w:val="0"/>
      <w:divBdr>
        <w:top w:val="none" w:sz="0" w:space="0" w:color="auto"/>
        <w:left w:val="none" w:sz="0" w:space="0" w:color="auto"/>
        <w:bottom w:val="none" w:sz="0" w:space="0" w:color="auto"/>
        <w:right w:val="none" w:sz="0" w:space="0" w:color="auto"/>
      </w:divBdr>
      <w:divsChild>
        <w:div w:id="1392071293">
          <w:marLeft w:val="0"/>
          <w:marRight w:val="0"/>
          <w:marTop w:val="0"/>
          <w:marBottom w:val="0"/>
          <w:divBdr>
            <w:top w:val="none" w:sz="0" w:space="0" w:color="auto"/>
            <w:left w:val="none" w:sz="0" w:space="0" w:color="auto"/>
            <w:bottom w:val="none" w:sz="0" w:space="0" w:color="auto"/>
            <w:right w:val="none" w:sz="0" w:space="0" w:color="auto"/>
          </w:divBdr>
          <w:divsChild>
            <w:div w:id="870611004">
              <w:marLeft w:val="0"/>
              <w:marRight w:val="0"/>
              <w:marTop w:val="0"/>
              <w:marBottom w:val="0"/>
              <w:divBdr>
                <w:top w:val="none" w:sz="0" w:space="0" w:color="auto"/>
                <w:left w:val="none" w:sz="0" w:space="0" w:color="auto"/>
                <w:bottom w:val="none" w:sz="0" w:space="0" w:color="auto"/>
                <w:right w:val="none" w:sz="0" w:space="0" w:color="auto"/>
              </w:divBdr>
              <w:divsChild>
                <w:div w:id="1227642951">
                  <w:marLeft w:val="0"/>
                  <w:marRight w:val="0"/>
                  <w:marTop w:val="0"/>
                  <w:marBottom w:val="0"/>
                  <w:divBdr>
                    <w:top w:val="none" w:sz="0" w:space="0" w:color="auto"/>
                    <w:left w:val="none" w:sz="0" w:space="0" w:color="auto"/>
                    <w:bottom w:val="none" w:sz="0" w:space="0" w:color="auto"/>
                    <w:right w:val="none" w:sz="0" w:space="0" w:color="auto"/>
                  </w:divBdr>
                  <w:divsChild>
                    <w:div w:id="1010645235">
                      <w:marLeft w:val="-150"/>
                      <w:marRight w:val="0"/>
                      <w:marTop w:val="0"/>
                      <w:marBottom w:val="0"/>
                      <w:divBdr>
                        <w:top w:val="single" w:sz="6" w:space="0" w:color="9FC4D8"/>
                        <w:left w:val="single" w:sz="6" w:space="8" w:color="9FC4D8"/>
                        <w:bottom w:val="single" w:sz="24" w:space="0" w:color="9FC4D8"/>
                        <w:right w:val="single" w:sz="6" w:space="8" w:color="9FC4D8"/>
                      </w:divBdr>
                      <w:divsChild>
                        <w:div w:id="1548184348">
                          <w:marLeft w:val="0"/>
                          <w:marRight w:val="150"/>
                          <w:marTop w:val="0"/>
                          <w:marBottom w:val="0"/>
                          <w:divBdr>
                            <w:top w:val="none" w:sz="0" w:space="0" w:color="auto"/>
                            <w:left w:val="none" w:sz="0" w:space="0" w:color="auto"/>
                            <w:bottom w:val="none" w:sz="0" w:space="0" w:color="auto"/>
                            <w:right w:val="none" w:sz="0" w:space="0" w:color="auto"/>
                          </w:divBdr>
                          <w:divsChild>
                            <w:div w:id="1851330920">
                              <w:marLeft w:val="0"/>
                              <w:marRight w:val="0"/>
                              <w:marTop w:val="0"/>
                              <w:marBottom w:val="0"/>
                              <w:divBdr>
                                <w:top w:val="none" w:sz="0" w:space="0" w:color="auto"/>
                                <w:left w:val="none" w:sz="0" w:space="0" w:color="auto"/>
                                <w:bottom w:val="none" w:sz="0" w:space="0" w:color="auto"/>
                                <w:right w:val="none" w:sz="0" w:space="0" w:color="auto"/>
                              </w:divBdr>
                              <w:divsChild>
                                <w:div w:id="1497308615">
                                  <w:marLeft w:val="0"/>
                                  <w:marRight w:val="0"/>
                                  <w:marTop w:val="0"/>
                                  <w:marBottom w:val="0"/>
                                  <w:divBdr>
                                    <w:top w:val="none" w:sz="0" w:space="0" w:color="auto"/>
                                    <w:left w:val="none" w:sz="0" w:space="0" w:color="auto"/>
                                    <w:bottom w:val="none" w:sz="0" w:space="0" w:color="auto"/>
                                    <w:right w:val="none" w:sz="0" w:space="0" w:color="auto"/>
                                  </w:divBdr>
                                  <w:divsChild>
                                    <w:div w:id="934823776">
                                      <w:marLeft w:val="0"/>
                                      <w:marRight w:val="0"/>
                                      <w:marTop w:val="0"/>
                                      <w:marBottom w:val="0"/>
                                      <w:divBdr>
                                        <w:top w:val="none" w:sz="0" w:space="0" w:color="auto"/>
                                        <w:left w:val="none" w:sz="0" w:space="0" w:color="auto"/>
                                        <w:bottom w:val="none" w:sz="0" w:space="0" w:color="auto"/>
                                        <w:right w:val="none" w:sz="0" w:space="0" w:color="auto"/>
                                      </w:divBdr>
                                      <w:divsChild>
                                        <w:div w:id="627245544">
                                          <w:marLeft w:val="0"/>
                                          <w:marRight w:val="0"/>
                                          <w:marTop w:val="0"/>
                                          <w:marBottom w:val="0"/>
                                          <w:divBdr>
                                            <w:top w:val="none" w:sz="0" w:space="0" w:color="auto"/>
                                            <w:left w:val="none" w:sz="0" w:space="0" w:color="auto"/>
                                            <w:bottom w:val="none" w:sz="0" w:space="0" w:color="auto"/>
                                            <w:right w:val="none" w:sz="0" w:space="0" w:color="auto"/>
                                          </w:divBdr>
                                        </w:div>
                                      </w:divsChild>
                                    </w:div>
                                    <w:div w:id="996809397">
                                      <w:marLeft w:val="0"/>
                                      <w:marRight w:val="0"/>
                                      <w:marTop w:val="0"/>
                                      <w:marBottom w:val="0"/>
                                      <w:divBdr>
                                        <w:top w:val="none" w:sz="0" w:space="0" w:color="auto"/>
                                        <w:left w:val="none" w:sz="0" w:space="0" w:color="auto"/>
                                        <w:bottom w:val="none" w:sz="0" w:space="0" w:color="auto"/>
                                        <w:right w:val="none" w:sz="0" w:space="0" w:color="auto"/>
                                      </w:divBdr>
                                      <w:divsChild>
                                        <w:div w:id="1395275164">
                                          <w:marLeft w:val="0"/>
                                          <w:marRight w:val="0"/>
                                          <w:marTop w:val="0"/>
                                          <w:marBottom w:val="0"/>
                                          <w:divBdr>
                                            <w:top w:val="none" w:sz="0" w:space="0" w:color="auto"/>
                                            <w:left w:val="none" w:sz="0" w:space="0" w:color="auto"/>
                                            <w:bottom w:val="none" w:sz="0" w:space="0" w:color="auto"/>
                                            <w:right w:val="none" w:sz="0" w:space="0" w:color="auto"/>
                                          </w:divBdr>
                                        </w:div>
                                      </w:divsChild>
                                    </w:div>
                                    <w:div w:id="1128277195">
                                      <w:marLeft w:val="0"/>
                                      <w:marRight w:val="0"/>
                                      <w:marTop w:val="330"/>
                                      <w:marBottom w:val="0"/>
                                      <w:divBdr>
                                        <w:top w:val="none" w:sz="0" w:space="0" w:color="auto"/>
                                        <w:left w:val="none" w:sz="0" w:space="0" w:color="auto"/>
                                        <w:bottom w:val="none" w:sz="0" w:space="0" w:color="auto"/>
                                        <w:right w:val="none" w:sz="0" w:space="0" w:color="auto"/>
                                      </w:divBdr>
                                    </w:div>
                                    <w:div w:id="1264192558">
                                      <w:marLeft w:val="0"/>
                                      <w:marRight w:val="0"/>
                                      <w:marTop w:val="0"/>
                                      <w:marBottom w:val="0"/>
                                      <w:divBdr>
                                        <w:top w:val="none" w:sz="0" w:space="0" w:color="auto"/>
                                        <w:left w:val="none" w:sz="0" w:space="0" w:color="auto"/>
                                        <w:bottom w:val="none" w:sz="0" w:space="0" w:color="auto"/>
                                        <w:right w:val="none" w:sz="0" w:space="0" w:color="auto"/>
                                      </w:divBdr>
                                      <w:divsChild>
                                        <w:div w:id="4267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792564">
      <w:bodyDiv w:val="1"/>
      <w:marLeft w:val="0"/>
      <w:marRight w:val="0"/>
      <w:marTop w:val="0"/>
      <w:marBottom w:val="0"/>
      <w:divBdr>
        <w:top w:val="none" w:sz="0" w:space="0" w:color="auto"/>
        <w:left w:val="none" w:sz="0" w:space="0" w:color="auto"/>
        <w:bottom w:val="none" w:sz="0" w:space="0" w:color="auto"/>
        <w:right w:val="none" w:sz="0" w:space="0" w:color="auto"/>
      </w:divBdr>
    </w:div>
    <w:div w:id="707416502">
      <w:bodyDiv w:val="1"/>
      <w:marLeft w:val="0"/>
      <w:marRight w:val="0"/>
      <w:marTop w:val="0"/>
      <w:marBottom w:val="0"/>
      <w:divBdr>
        <w:top w:val="none" w:sz="0" w:space="0" w:color="auto"/>
        <w:left w:val="none" w:sz="0" w:space="0" w:color="auto"/>
        <w:bottom w:val="none" w:sz="0" w:space="0" w:color="auto"/>
        <w:right w:val="none" w:sz="0" w:space="0" w:color="auto"/>
      </w:divBdr>
    </w:div>
    <w:div w:id="711348383">
      <w:bodyDiv w:val="1"/>
      <w:marLeft w:val="0"/>
      <w:marRight w:val="0"/>
      <w:marTop w:val="0"/>
      <w:marBottom w:val="0"/>
      <w:divBdr>
        <w:top w:val="none" w:sz="0" w:space="0" w:color="auto"/>
        <w:left w:val="none" w:sz="0" w:space="0" w:color="auto"/>
        <w:bottom w:val="none" w:sz="0" w:space="0" w:color="auto"/>
        <w:right w:val="none" w:sz="0" w:space="0" w:color="auto"/>
      </w:divBdr>
    </w:div>
    <w:div w:id="717630727">
      <w:bodyDiv w:val="1"/>
      <w:marLeft w:val="0"/>
      <w:marRight w:val="0"/>
      <w:marTop w:val="0"/>
      <w:marBottom w:val="0"/>
      <w:divBdr>
        <w:top w:val="none" w:sz="0" w:space="0" w:color="auto"/>
        <w:left w:val="none" w:sz="0" w:space="0" w:color="auto"/>
        <w:bottom w:val="none" w:sz="0" w:space="0" w:color="auto"/>
        <w:right w:val="none" w:sz="0" w:space="0" w:color="auto"/>
      </w:divBdr>
    </w:div>
    <w:div w:id="786437368">
      <w:bodyDiv w:val="1"/>
      <w:marLeft w:val="0"/>
      <w:marRight w:val="0"/>
      <w:marTop w:val="0"/>
      <w:marBottom w:val="0"/>
      <w:divBdr>
        <w:top w:val="none" w:sz="0" w:space="0" w:color="auto"/>
        <w:left w:val="none" w:sz="0" w:space="0" w:color="auto"/>
        <w:bottom w:val="none" w:sz="0" w:space="0" w:color="auto"/>
        <w:right w:val="none" w:sz="0" w:space="0" w:color="auto"/>
      </w:divBdr>
      <w:divsChild>
        <w:div w:id="595485404">
          <w:marLeft w:val="0"/>
          <w:marRight w:val="0"/>
          <w:marTop w:val="0"/>
          <w:marBottom w:val="0"/>
          <w:divBdr>
            <w:top w:val="none" w:sz="0" w:space="0" w:color="auto"/>
            <w:left w:val="none" w:sz="0" w:space="0" w:color="auto"/>
            <w:bottom w:val="none" w:sz="0" w:space="0" w:color="auto"/>
            <w:right w:val="none" w:sz="0" w:space="0" w:color="auto"/>
          </w:divBdr>
          <w:divsChild>
            <w:div w:id="508716937">
              <w:marLeft w:val="0"/>
              <w:marRight w:val="0"/>
              <w:marTop w:val="0"/>
              <w:marBottom w:val="0"/>
              <w:divBdr>
                <w:top w:val="none" w:sz="0" w:space="0" w:color="auto"/>
                <w:left w:val="none" w:sz="0" w:space="0" w:color="auto"/>
                <w:bottom w:val="none" w:sz="0" w:space="0" w:color="auto"/>
                <w:right w:val="none" w:sz="0" w:space="0" w:color="auto"/>
              </w:divBdr>
              <w:divsChild>
                <w:div w:id="1417707042">
                  <w:marLeft w:val="0"/>
                  <w:marRight w:val="0"/>
                  <w:marTop w:val="0"/>
                  <w:marBottom w:val="0"/>
                  <w:divBdr>
                    <w:top w:val="none" w:sz="0" w:space="0" w:color="auto"/>
                    <w:left w:val="none" w:sz="0" w:space="0" w:color="auto"/>
                    <w:bottom w:val="none" w:sz="0" w:space="0" w:color="auto"/>
                    <w:right w:val="none" w:sz="0" w:space="0" w:color="auto"/>
                  </w:divBdr>
                  <w:divsChild>
                    <w:div w:id="2115401054">
                      <w:marLeft w:val="-150"/>
                      <w:marRight w:val="0"/>
                      <w:marTop w:val="0"/>
                      <w:marBottom w:val="0"/>
                      <w:divBdr>
                        <w:top w:val="single" w:sz="6" w:space="0" w:color="9FC4D8"/>
                        <w:left w:val="single" w:sz="6" w:space="8" w:color="9FC4D8"/>
                        <w:bottom w:val="single" w:sz="24" w:space="0" w:color="9FC4D8"/>
                        <w:right w:val="single" w:sz="6" w:space="8" w:color="9FC4D8"/>
                      </w:divBdr>
                      <w:divsChild>
                        <w:div w:id="1449355431">
                          <w:marLeft w:val="0"/>
                          <w:marRight w:val="150"/>
                          <w:marTop w:val="0"/>
                          <w:marBottom w:val="0"/>
                          <w:divBdr>
                            <w:top w:val="none" w:sz="0" w:space="0" w:color="auto"/>
                            <w:left w:val="none" w:sz="0" w:space="0" w:color="auto"/>
                            <w:bottom w:val="none" w:sz="0" w:space="0" w:color="auto"/>
                            <w:right w:val="none" w:sz="0" w:space="0" w:color="auto"/>
                          </w:divBdr>
                          <w:divsChild>
                            <w:div w:id="1550189590">
                              <w:marLeft w:val="0"/>
                              <w:marRight w:val="0"/>
                              <w:marTop w:val="0"/>
                              <w:marBottom w:val="0"/>
                              <w:divBdr>
                                <w:top w:val="none" w:sz="0" w:space="0" w:color="auto"/>
                                <w:left w:val="none" w:sz="0" w:space="0" w:color="auto"/>
                                <w:bottom w:val="none" w:sz="0" w:space="0" w:color="auto"/>
                                <w:right w:val="none" w:sz="0" w:space="0" w:color="auto"/>
                              </w:divBdr>
                              <w:divsChild>
                                <w:div w:id="149490191">
                                  <w:marLeft w:val="0"/>
                                  <w:marRight w:val="0"/>
                                  <w:marTop w:val="0"/>
                                  <w:marBottom w:val="0"/>
                                  <w:divBdr>
                                    <w:top w:val="none" w:sz="0" w:space="0" w:color="auto"/>
                                    <w:left w:val="none" w:sz="0" w:space="0" w:color="auto"/>
                                    <w:bottom w:val="none" w:sz="0" w:space="0" w:color="auto"/>
                                    <w:right w:val="none" w:sz="0" w:space="0" w:color="auto"/>
                                  </w:divBdr>
                                  <w:divsChild>
                                    <w:div w:id="86926544">
                                      <w:marLeft w:val="0"/>
                                      <w:marRight w:val="0"/>
                                      <w:marTop w:val="0"/>
                                      <w:marBottom w:val="0"/>
                                      <w:divBdr>
                                        <w:top w:val="none" w:sz="0" w:space="0" w:color="auto"/>
                                        <w:left w:val="none" w:sz="0" w:space="0" w:color="auto"/>
                                        <w:bottom w:val="none" w:sz="0" w:space="0" w:color="auto"/>
                                        <w:right w:val="none" w:sz="0" w:space="0" w:color="auto"/>
                                      </w:divBdr>
                                      <w:divsChild>
                                        <w:div w:id="1512791050">
                                          <w:marLeft w:val="0"/>
                                          <w:marRight w:val="0"/>
                                          <w:marTop w:val="0"/>
                                          <w:marBottom w:val="0"/>
                                          <w:divBdr>
                                            <w:top w:val="none" w:sz="0" w:space="0" w:color="auto"/>
                                            <w:left w:val="none" w:sz="0" w:space="0" w:color="auto"/>
                                            <w:bottom w:val="none" w:sz="0" w:space="0" w:color="auto"/>
                                            <w:right w:val="none" w:sz="0" w:space="0" w:color="auto"/>
                                          </w:divBdr>
                                        </w:div>
                                      </w:divsChild>
                                    </w:div>
                                    <w:div w:id="1562059190">
                                      <w:marLeft w:val="0"/>
                                      <w:marRight w:val="0"/>
                                      <w:marTop w:val="330"/>
                                      <w:marBottom w:val="0"/>
                                      <w:divBdr>
                                        <w:top w:val="none" w:sz="0" w:space="0" w:color="auto"/>
                                        <w:left w:val="none" w:sz="0" w:space="0" w:color="auto"/>
                                        <w:bottom w:val="none" w:sz="0" w:space="0" w:color="auto"/>
                                        <w:right w:val="none" w:sz="0" w:space="0" w:color="auto"/>
                                      </w:divBdr>
                                    </w:div>
                                    <w:div w:id="1692953881">
                                      <w:marLeft w:val="0"/>
                                      <w:marRight w:val="0"/>
                                      <w:marTop w:val="0"/>
                                      <w:marBottom w:val="0"/>
                                      <w:divBdr>
                                        <w:top w:val="none" w:sz="0" w:space="0" w:color="auto"/>
                                        <w:left w:val="none" w:sz="0" w:space="0" w:color="auto"/>
                                        <w:bottom w:val="none" w:sz="0" w:space="0" w:color="auto"/>
                                        <w:right w:val="none" w:sz="0" w:space="0" w:color="auto"/>
                                      </w:divBdr>
                                      <w:divsChild>
                                        <w:div w:id="5874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526613">
      <w:bodyDiv w:val="1"/>
      <w:marLeft w:val="0"/>
      <w:marRight w:val="0"/>
      <w:marTop w:val="0"/>
      <w:marBottom w:val="0"/>
      <w:divBdr>
        <w:top w:val="none" w:sz="0" w:space="0" w:color="auto"/>
        <w:left w:val="none" w:sz="0" w:space="0" w:color="auto"/>
        <w:bottom w:val="none" w:sz="0" w:space="0" w:color="auto"/>
        <w:right w:val="none" w:sz="0" w:space="0" w:color="auto"/>
      </w:divBdr>
    </w:div>
    <w:div w:id="906380688">
      <w:bodyDiv w:val="1"/>
      <w:marLeft w:val="0"/>
      <w:marRight w:val="0"/>
      <w:marTop w:val="0"/>
      <w:marBottom w:val="0"/>
      <w:divBdr>
        <w:top w:val="none" w:sz="0" w:space="0" w:color="auto"/>
        <w:left w:val="none" w:sz="0" w:space="0" w:color="auto"/>
        <w:bottom w:val="none" w:sz="0" w:space="0" w:color="auto"/>
        <w:right w:val="none" w:sz="0" w:space="0" w:color="auto"/>
      </w:divBdr>
    </w:div>
    <w:div w:id="982924962">
      <w:bodyDiv w:val="1"/>
      <w:marLeft w:val="0"/>
      <w:marRight w:val="0"/>
      <w:marTop w:val="0"/>
      <w:marBottom w:val="0"/>
      <w:divBdr>
        <w:top w:val="none" w:sz="0" w:space="0" w:color="auto"/>
        <w:left w:val="none" w:sz="0" w:space="0" w:color="auto"/>
        <w:bottom w:val="none" w:sz="0" w:space="0" w:color="auto"/>
        <w:right w:val="none" w:sz="0" w:space="0" w:color="auto"/>
      </w:divBdr>
    </w:div>
    <w:div w:id="994601529">
      <w:bodyDiv w:val="1"/>
      <w:marLeft w:val="0"/>
      <w:marRight w:val="0"/>
      <w:marTop w:val="0"/>
      <w:marBottom w:val="0"/>
      <w:divBdr>
        <w:top w:val="none" w:sz="0" w:space="0" w:color="auto"/>
        <w:left w:val="none" w:sz="0" w:space="0" w:color="auto"/>
        <w:bottom w:val="none" w:sz="0" w:space="0" w:color="auto"/>
        <w:right w:val="none" w:sz="0" w:space="0" w:color="auto"/>
      </w:divBdr>
    </w:div>
    <w:div w:id="1092357376">
      <w:bodyDiv w:val="1"/>
      <w:marLeft w:val="0"/>
      <w:marRight w:val="0"/>
      <w:marTop w:val="0"/>
      <w:marBottom w:val="0"/>
      <w:divBdr>
        <w:top w:val="none" w:sz="0" w:space="0" w:color="auto"/>
        <w:left w:val="none" w:sz="0" w:space="0" w:color="auto"/>
        <w:bottom w:val="none" w:sz="0" w:space="0" w:color="auto"/>
        <w:right w:val="none" w:sz="0" w:space="0" w:color="auto"/>
      </w:divBdr>
    </w:div>
    <w:div w:id="1176653854">
      <w:bodyDiv w:val="1"/>
      <w:marLeft w:val="0"/>
      <w:marRight w:val="0"/>
      <w:marTop w:val="0"/>
      <w:marBottom w:val="0"/>
      <w:divBdr>
        <w:top w:val="none" w:sz="0" w:space="0" w:color="auto"/>
        <w:left w:val="none" w:sz="0" w:space="0" w:color="auto"/>
        <w:bottom w:val="none" w:sz="0" w:space="0" w:color="auto"/>
        <w:right w:val="none" w:sz="0" w:space="0" w:color="auto"/>
      </w:divBdr>
      <w:divsChild>
        <w:div w:id="477039095">
          <w:marLeft w:val="0"/>
          <w:marRight w:val="0"/>
          <w:marTop w:val="0"/>
          <w:marBottom w:val="0"/>
          <w:divBdr>
            <w:top w:val="none" w:sz="0" w:space="0" w:color="auto"/>
            <w:left w:val="none" w:sz="0" w:space="0" w:color="auto"/>
            <w:bottom w:val="none" w:sz="0" w:space="0" w:color="auto"/>
            <w:right w:val="none" w:sz="0" w:space="0" w:color="auto"/>
          </w:divBdr>
          <w:divsChild>
            <w:div w:id="120610653">
              <w:marLeft w:val="0"/>
              <w:marRight w:val="0"/>
              <w:marTop w:val="0"/>
              <w:marBottom w:val="0"/>
              <w:divBdr>
                <w:top w:val="none" w:sz="0" w:space="0" w:color="auto"/>
                <w:left w:val="none" w:sz="0" w:space="0" w:color="auto"/>
                <w:bottom w:val="none" w:sz="0" w:space="0" w:color="auto"/>
                <w:right w:val="none" w:sz="0" w:space="0" w:color="auto"/>
              </w:divBdr>
              <w:divsChild>
                <w:div w:id="1583560968">
                  <w:marLeft w:val="0"/>
                  <w:marRight w:val="0"/>
                  <w:marTop w:val="0"/>
                  <w:marBottom w:val="0"/>
                  <w:divBdr>
                    <w:top w:val="none" w:sz="0" w:space="0" w:color="auto"/>
                    <w:left w:val="none" w:sz="0" w:space="0" w:color="auto"/>
                    <w:bottom w:val="none" w:sz="0" w:space="0" w:color="auto"/>
                    <w:right w:val="none" w:sz="0" w:space="0" w:color="auto"/>
                  </w:divBdr>
                  <w:divsChild>
                    <w:div w:id="833452310">
                      <w:marLeft w:val="-150"/>
                      <w:marRight w:val="0"/>
                      <w:marTop w:val="0"/>
                      <w:marBottom w:val="0"/>
                      <w:divBdr>
                        <w:top w:val="single" w:sz="6" w:space="0" w:color="9FC4D8"/>
                        <w:left w:val="single" w:sz="6" w:space="8" w:color="9FC4D8"/>
                        <w:bottom w:val="single" w:sz="24" w:space="0" w:color="9FC4D8"/>
                        <w:right w:val="single" w:sz="6" w:space="8" w:color="9FC4D8"/>
                      </w:divBdr>
                      <w:divsChild>
                        <w:div w:id="961035446">
                          <w:marLeft w:val="0"/>
                          <w:marRight w:val="150"/>
                          <w:marTop w:val="0"/>
                          <w:marBottom w:val="0"/>
                          <w:divBdr>
                            <w:top w:val="none" w:sz="0" w:space="0" w:color="auto"/>
                            <w:left w:val="none" w:sz="0" w:space="0" w:color="auto"/>
                            <w:bottom w:val="none" w:sz="0" w:space="0" w:color="auto"/>
                            <w:right w:val="none" w:sz="0" w:space="0" w:color="auto"/>
                          </w:divBdr>
                          <w:divsChild>
                            <w:div w:id="1910074620">
                              <w:marLeft w:val="0"/>
                              <w:marRight w:val="0"/>
                              <w:marTop w:val="0"/>
                              <w:marBottom w:val="0"/>
                              <w:divBdr>
                                <w:top w:val="none" w:sz="0" w:space="0" w:color="auto"/>
                                <w:left w:val="none" w:sz="0" w:space="0" w:color="auto"/>
                                <w:bottom w:val="none" w:sz="0" w:space="0" w:color="auto"/>
                                <w:right w:val="none" w:sz="0" w:space="0" w:color="auto"/>
                              </w:divBdr>
                              <w:divsChild>
                                <w:div w:id="1548251250">
                                  <w:marLeft w:val="0"/>
                                  <w:marRight w:val="0"/>
                                  <w:marTop w:val="0"/>
                                  <w:marBottom w:val="0"/>
                                  <w:divBdr>
                                    <w:top w:val="none" w:sz="0" w:space="0" w:color="auto"/>
                                    <w:left w:val="none" w:sz="0" w:space="0" w:color="auto"/>
                                    <w:bottom w:val="none" w:sz="0" w:space="0" w:color="auto"/>
                                    <w:right w:val="none" w:sz="0" w:space="0" w:color="auto"/>
                                  </w:divBdr>
                                  <w:divsChild>
                                    <w:div w:id="10842708">
                                      <w:marLeft w:val="0"/>
                                      <w:marRight w:val="0"/>
                                      <w:marTop w:val="0"/>
                                      <w:marBottom w:val="0"/>
                                      <w:divBdr>
                                        <w:top w:val="none" w:sz="0" w:space="0" w:color="auto"/>
                                        <w:left w:val="none" w:sz="0" w:space="0" w:color="auto"/>
                                        <w:bottom w:val="none" w:sz="0" w:space="0" w:color="auto"/>
                                        <w:right w:val="none" w:sz="0" w:space="0" w:color="auto"/>
                                      </w:divBdr>
                                      <w:divsChild>
                                        <w:div w:id="206114703">
                                          <w:marLeft w:val="0"/>
                                          <w:marRight w:val="0"/>
                                          <w:marTop w:val="0"/>
                                          <w:marBottom w:val="0"/>
                                          <w:divBdr>
                                            <w:top w:val="none" w:sz="0" w:space="0" w:color="auto"/>
                                            <w:left w:val="none" w:sz="0" w:space="0" w:color="auto"/>
                                            <w:bottom w:val="none" w:sz="0" w:space="0" w:color="auto"/>
                                            <w:right w:val="none" w:sz="0" w:space="0" w:color="auto"/>
                                          </w:divBdr>
                                        </w:div>
                                      </w:divsChild>
                                    </w:div>
                                    <w:div w:id="39213706">
                                      <w:marLeft w:val="0"/>
                                      <w:marRight w:val="0"/>
                                      <w:marTop w:val="0"/>
                                      <w:marBottom w:val="0"/>
                                      <w:divBdr>
                                        <w:top w:val="none" w:sz="0" w:space="0" w:color="auto"/>
                                        <w:left w:val="none" w:sz="0" w:space="0" w:color="auto"/>
                                        <w:bottom w:val="none" w:sz="0" w:space="0" w:color="auto"/>
                                        <w:right w:val="none" w:sz="0" w:space="0" w:color="auto"/>
                                      </w:divBdr>
                                      <w:divsChild>
                                        <w:div w:id="923883206">
                                          <w:marLeft w:val="0"/>
                                          <w:marRight w:val="0"/>
                                          <w:marTop w:val="0"/>
                                          <w:marBottom w:val="0"/>
                                          <w:divBdr>
                                            <w:top w:val="none" w:sz="0" w:space="0" w:color="auto"/>
                                            <w:left w:val="none" w:sz="0" w:space="0" w:color="auto"/>
                                            <w:bottom w:val="none" w:sz="0" w:space="0" w:color="auto"/>
                                            <w:right w:val="none" w:sz="0" w:space="0" w:color="auto"/>
                                          </w:divBdr>
                                        </w:div>
                                      </w:divsChild>
                                    </w:div>
                                    <w:div w:id="165707226">
                                      <w:marLeft w:val="0"/>
                                      <w:marRight w:val="0"/>
                                      <w:marTop w:val="330"/>
                                      <w:marBottom w:val="0"/>
                                      <w:divBdr>
                                        <w:top w:val="none" w:sz="0" w:space="0" w:color="auto"/>
                                        <w:left w:val="none" w:sz="0" w:space="0" w:color="auto"/>
                                        <w:bottom w:val="none" w:sz="0" w:space="0" w:color="auto"/>
                                        <w:right w:val="none" w:sz="0" w:space="0" w:color="auto"/>
                                      </w:divBdr>
                                    </w:div>
                                    <w:div w:id="1973709467">
                                      <w:marLeft w:val="0"/>
                                      <w:marRight w:val="0"/>
                                      <w:marTop w:val="0"/>
                                      <w:marBottom w:val="0"/>
                                      <w:divBdr>
                                        <w:top w:val="none" w:sz="0" w:space="0" w:color="auto"/>
                                        <w:left w:val="none" w:sz="0" w:space="0" w:color="auto"/>
                                        <w:bottom w:val="none" w:sz="0" w:space="0" w:color="auto"/>
                                        <w:right w:val="none" w:sz="0" w:space="0" w:color="auto"/>
                                      </w:divBdr>
                                      <w:divsChild>
                                        <w:div w:id="8386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260326">
      <w:bodyDiv w:val="1"/>
      <w:marLeft w:val="0"/>
      <w:marRight w:val="0"/>
      <w:marTop w:val="0"/>
      <w:marBottom w:val="0"/>
      <w:divBdr>
        <w:top w:val="none" w:sz="0" w:space="0" w:color="auto"/>
        <w:left w:val="none" w:sz="0" w:space="0" w:color="auto"/>
        <w:bottom w:val="none" w:sz="0" w:space="0" w:color="auto"/>
        <w:right w:val="none" w:sz="0" w:space="0" w:color="auto"/>
      </w:divBdr>
      <w:divsChild>
        <w:div w:id="2129467262">
          <w:marLeft w:val="0"/>
          <w:marRight w:val="0"/>
          <w:marTop w:val="0"/>
          <w:marBottom w:val="0"/>
          <w:divBdr>
            <w:top w:val="none" w:sz="0" w:space="0" w:color="auto"/>
            <w:left w:val="none" w:sz="0" w:space="0" w:color="auto"/>
            <w:bottom w:val="none" w:sz="0" w:space="0" w:color="auto"/>
            <w:right w:val="none" w:sz="0" w:space="0" w:color="auto"/>
          </w:divBdr>
          <w:divsChild>
            <w:div w:id="1057052468">
              <w:marLeft w:val="0"/>
              <w:marRight w:val="0"/>
              <w:marTop w:val="0"/>
              <w:marBottom w:val="0"/>
              <w:divBdr>
                <w:top w:val="none" w:sz="0" w:space="0" w:color="auto"/>
                <w:left w:val="none" w:sz="0" w:space="0" w:color="auto"/>
                <w:bottom w:val="none" w:sz="0" w:space="0" w:color="auto"/>
                <w:right w:val="none" w:sz="0" w:space="0" w:color="auto"/>
              </w:divBdr>
              <w:divsChild>
                <w:div w:id="283971073">
                  <w:marLeft w:val="0"/>
                  <w:marRight w:val="0"/>
                  <w:marTop w:val="0"/>
                  <w:marBottom w:val="0"/>
                  <w:divBdr>
                    <w:top w:val="none" w:sz="0" w:space="0" w:color="auto"/>
                    <w:left w:val="none" w:sz="0" w:space="0" w:color="auto"/>
                    <w:bottom w:val="none" w:sz="0" w:space="0" w:color="auto"/>
                    <w:right w:val="none" w:sz="0" w:space="0" w:color="auto"/>
                  </w:divBdr>
                  <w:divsChild>
                    <w:div w:id="1080324605">
                      <w:marLeft w:val="-150"/>
                      <w:marRight w:val="0"/>
                      <w:marTop w:val="0"/>
                      <w:marBottom w:val="0"/>
                      <w:divBdr>
                        <w:top w:val="single" w:sz="6" w:space="0" w:color="9FC4D8"/>
                        <w:left w:val="single" w:sz="6" w:space="8" w:color="9FC4D8"/>
                        <w:bottom w:val="single" w:sz="24" w:space="0" w:color="9FC4D8"/>
                        <w:right w:val="single" w:sz="6" w:space="8" w:color="9FC4D8"/>
                      </w:divBdr>
                      <w:divsChild>
                        <w:div w:id="1471363134">
                          <w:marLeft w:val="0"/>
                          <w:marRight w:val="150"/>
                          <w:marTop w:val="0"/>
                          <w:marBottom w:val="0"/>
                          <w:divBdr>
                            <w:top w:val="none" w:sz="0" w:space="0" w:color="auto"/>
                            <w:left w:val="none" w:sz="0" w:space="0" w:color="auto"/>
                            <w:bottom w:val="none" w:sz="0" w:space="0" w:color="auto"/>
                            <w:right w:val="none" w:sz="0" w:space="0" w:color="auto"/>
                          </w:divBdr>
                          <w:divsChild>
                            <w:div w:id="1140927316">
                              <w:marLeft w:val="0"/>
                              <w:marRight w:val="0"/>
                              <w:marTop w:val="0"/>
                              <w:marBottom w:val="0"/>
                              <w:divBdr>
                                <w:top w:val="none" w:sz="0" w:space="0" w:color="auto"/>
                                <w:left w:val="none" w:sz="0" w:space="0" w:color="auto"/>
                                <w:bottom w:val="none" w:sz="0" w:space="0" w:color="auto"/>
                                <w:right w:val="none" w:sz="0" w:space="0" w:color="auto"/>
                              </w:divBdr>
                              <w:divsChild>
                                <w:div w:id="1848910312">
                                  <w:marLeft w:val="0"/>
                                  <w:marRight w:val="0"/>
                                  <w:marTop w:val="0"/>
                                  <w:marBottom w:val="0"/>
                                  <w:divBdr>
                                    <w:top w:val="none" w:sz="0" w:space="0" w:color="auto"/>
                                    <w:left w:val="none" w:sz="0" w:space="0" w:color="auto"/>
                                    <w:bottom w:val="none" w:sz="0" w:space="0" w:color="auto"/>
                                    <w:right w:val="none" w:sz="0" w:space="0" w:color="auto"/>
                                  </w:divBdr>
                                  <w:divsChild>
                                    <w:div w:id="845361361">
                                      <w:marLeft w:val="0"/>
                                      <w:marRight w:val="0"/>
                                      <w:marTop w:val="0"/>
                                      <w:marBottom w:val="0"/>
                                      <w:divBdr>
                                        <w:top w:val="none" w:sz="0" w:space="0" w:color="auto"/>
                                        <w:left w:val="none" w:sz="0" w:space="0" w:color="auto"/>
                                        <w:bottom w:val="none" w:sz="0" w:space="0" w:color="auto"/>
                                        <w:right w:val="none" w:sz="0" w:space="0" w:color="auto"/>
                                      </w:divBdr>
                                      <w:divsChild>
                                        <w:div w:id="1556970609">
                                          <w:marLeft w:val="0"/>
                                          <w:marRight w:val="0"/>
                                          <w:marTop w:val="0"/>
                                          <w:marBottom w:val="0"/>
                                          <w:divBdr>
                                            <w:top w:val="none" w:sz="0" w:space="0" w:color="auto"/>
                                            <w:left w:val="none" w:sz="0" w:space="0" w:color="auto"/>
                                            <w:bottom w:val="none" w:sz="0" w:space="0" w:color="auto"/>
                                            <w:right w:val="none" w:sz="0" w:space="0" w:color="auto"/>
                                          </w:divBdr>
                                        </w:div>
                                      </w:divsChild>
                                    </w:div>
                                    <w:div w:id="1284655772">
                                      <w:marLeft w:val="0"/>
                                      <w:marRight w:val="0"/>
                                      <w:marTop w:val="0"/>
                                      <w:marBottom w:val="0"/>
                                      <w:divBdr>
                                        <w:top w:val="none" w:sz="0" w:space="0" w:color="auto"/>
                                        <w:left w:val="none" w:sz="0" w:space="0" w:color="auto"/>
                                        <w:bottom w:val="none" w:sz="0" w:space="0" w:color="auto"/>
                                        <w:right w:val="none" w:sz="0" w:space="0" w:color="auto"/>
                                      </w:divBdr>
                                      <w:divsChild>
                                        <w:div w:id="1527795683">
                                          <w:marLeft w:val="0"/>
                                          <w:marRight w:val="0"/>
                                          <w:marTop w:val="0"/>
                                          <w:marBottom w:val="0"/>
                                          <w:divBdr>
                                            <w:top w:val="none" w:sz="0" w:space="0" w:color="auto"/>
                                            <w:left w:val="none" w:sz="0" w:space="0" w:color="auto"/>
                                            <w:bottom w:val="none" w:sz="0" w:space="0" w:color="auto"/>
                                            <w:right w:val="none" w:sz="0" w:space="0" w:color="auto"/>
                                          </w:divBdr>
                                        </w:div>
                                      </w:divsChild>
                                    </w:div>
                                    <w:div w:id="207253259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628847">
      <w:bodyDiv w:val="1"/>
      <w:marLeft w:val="0"/>
      <w:marRight w:val="0"/>
      <w:marTop w:val="0"/>
      <w:marBottom w:val="0"/>
      <w:divBdr>
        <w:top w:val="none" w:sz="0" w:space="0" w:color="auto"/>
        <w:left w:val="none" w:sz="0" w:space="0" w:color="auto"/>
        <w:bottom w:val="none" w:sz="0" w:space="0" w:color="auto"/>
        <w:right w:val="none" w:sz="0" w:space="0" w:color="auto"/>
      </w:divBdr>
    </w:div>
    <w:div w:id="1274242568">
      <w:bodyDiv w:val="1"/>
      <w:marLeft w:val="0"/>
      <w:marRight w:val="0"/>
      <w:marTop w:val="0"/>
      <w:marBottom w:val="0"/>
      <w:divBdr>
        <w:top w:val="none" w:sz="0" w:space="0" w:color="auto"/>
        <w:left w:val="none" w:sz="0" w:space="0" w:color="auto"/>
        <w:bottom w:val="none" w:sz="0" w:space="0" w:color="auto"/>
        <w:right w:val="none" w:sz="0" w:space="0" w:color="auto"/>
      </w:divBdr>
    </w:div>
    <w:div w:id="1280450092">
      <w:bodyDiv w:val="1"/>
      <w:marLeft w:val="0"/>
      <w:marRight w:val="0"/>
      <w:marTop w:val="0"/>
      <w:marBottom w:val="0"/>
      <w:divBdr>
        <w:top w:val="none" w:sz="0" w:space="0" w:color="auto"/>
        <w:left w:val="none" w:sz="0" w:space="0" w:color="auto"/>
        <w:bottom w:val="none" w:sz="0" w:space="0" w:color="auto"/>
        <w:right w:val="none" w:sz="0" w:space="0" w:color="auto"/>
      </w:divBdr>
    </w:div>
    <w:div w:id="1281303877">
      <w:bodyDiv w:val="1"/>
      <w:marLeft w:val="0"/>
      <w:marRight w:val="0"/>
      <w:marTop w:val="0"/>
      <w:marBottom w:val="0"/>
      <w:divBdr>
        <w:top w:val="none" w:sz="0" w:space="0" w:color="auto"/>
        <w:left w:val="none" w:sz="0" w:space="0" w:color="auto"/>
        <w:bottom w:val="none" w:sz="0" w:space="0" w:color="auto"/>
        <w:right w:val="none" w:sz="0" w:space="0" w:color="auto"/>
      </w:divBdr>
    </w:div>
    <w:div w:id="1285308015">
      <w:bodyDiv w:val="1"/>
      <w:marLeft w:val="0"/>
      <w:marRight w:val="0"/>
      <w:marTop w:val="0"/>
      <w:marBottom w:val="0"/>
      <w:divBdr>
        <w:top w:val="none" w:sz="0" w:space="0" w:color="auto"/>
        <w:left w:val="none" w:sz="0" w:space="0" w:color="auto"/>
        <w:bottom w:val="none" w:sz="0" w:space="0" w:color="auto"/>
        <w:right w:val="none" w:sz="0" w:space="0" w:color="auto"/>
      </w:divBdr>
    </w:div>
    <w:div w:id="1289749475">
      <w:bodyDiv w:val="1"/>
      <w:marLeft w:val="0"/>
      <w:marRight w:val="0"/>
      <w:marTop w:val="0"/>
      <w:marBottom w:val="0"/>
      <w:divBdr>
        <w:top w:val="none" w:sz="0" w:space="0" w:color="auto"/>
        <w:left w:val="none" w:sz="0" w:space="0" w:color="auto"/>
        <w:bottom w:val="none" w:sz="0" w:space="0" w:color="auto"/>
        <w:right w:val="none" w:sz="0" w:space="0" w:color="auto"/>
      </w:divBdr>
    </w:div>
    <w:div w:id="1297031156">
      <w:bodyDiv w:val="1"/>
      <w:marLeft w:val="0"/>
      <w:marRight w:val="0"/>
      <w:marTop w:val="0"/>
      <w:marBottom w:val="0"/>
      <w:divBdr>
        <w:top w:val="none" w:sz="0" w:space="0" w:color="auto"/>
        <w:left w:val="none" w:sz="0" w:space="0" w:color="auto"/>
        <w:bottom w:val="none" w:sz="0" w:space="0" w:color="auto"/>
        <w:right w:val="none" w:sz="0" w:space="0" w:color="auto"/>
      </w:divBdr>
    </w:div>
    <w:div w:id="1349874149">
      <w:bodyDiv w:val="1"/>
      <w:marLeft w:val="0"/>
      <w:marRight w:val="0"/>
      <w:marTop w:val="0"/>
      <w:marBottom w:val="0"/>
      <w:divBdr>
        <w:top w:val="none" w:sz="0" w:space="0" w:color="auto"/>
        <w:left w:val="none" w:sz="0" w:space="0" w:color="auto"/>
        <w:bottom w:val="none" w:sz="0" w:space="0" w:color="auto"/>
        <w:right w:val="none" w:sz="0" w:space="0" w:color="auto"/>
      </w:divBdr>
    </w:div>
    <w:div w:id="1417903025">
      <w:bodyDiv w:val="1"/>
      <w:marLeft w:val="0"/>
      <w:marRight w:val="0"/>
      <w:marTop w:val="0"/>
      <w:marBottom w:val="0"/>
      <w:divBdr>
        <w:top w:val="none" w:sz="0" w:space="0" w:color="auto"/>
        <w:left w:val="none" w:sz="0" w:space="0" w:color="auto"/>
        <w:bottom w:val="none" w:sz="0" w:space="0" w:color="auto"/>
        <w:right w:val="none" w:sz="0" w:space="0" w:color="auto"/>
      </w:divBdr>
    </w:div>
    <w:div w:id="1464234295">
      <w:bodyDiv w:val="1"/>
      <w:marLeft w:val="0"/>
      <w:marRight w:val="0"/>
      <w:marTop w:val="0"/>
      <w:marBottom w:val="0"/>
      <w:divBdr>
        <w:top w:val="none" w:sz="0" w:space="0" w:color="auto"/>
        <w:left w:val="none" w:sz="0" w:space="0" w:color="auto"/>
        <w:bottom w:val="none" w:sz="0" w:space="0" w:color="auto"/>
        <w:right w:val="none" w:sz="0" w:space="0" w:color="auto"/>
      </w:divBdr>
      <w:divsChild>
        <w:div w:id="845292745">
          <w:marLeft w:val="0"/>
          <w:marRight w:val="0"/>
          <w:marTop w:val="0"/>
          <w:marBottom w:val="0"/>
          <w:divBdr>
            <w:top w:val="none" w:sz="0" w:space="0" w:color="auto"/>
            <w:left w:val="none" w:sz="0" w:space="0" w:color="auto"/>
            <w:bottom w:val="none" w:sz="0" w:space="0" w:color="auto"/>
            <w:right w:val="none" w:sz="0" w:space="0" w:color="auto"/>
          </w:divBdr>
          <w:divsChild>
            <w:div w:id="1079251247">
              <w:marLeft w:val="0"/>
              <w:marRight w:val="0"/>
              <w:marTop w:val="0"/>
              <w:marBottom w:val="0"/>
              <w:divBdr>
                <w:top w:val="none" w:sz="0" w:space="0" w:color="auto"/>
                <w:left w:val="none" w:sz="0" w:space="0" w:color="auto"/>
                <w:bottom w:val="none" w:sz="0" w:space="0" w:color="auto"/>
                <w:right w:val="none" w:sz="0" w:space="0" w:color="auto"/>
              </w:divBdr>
              <w:divsChild>
                <w:div w:id="1213884545">
                  <w:marLeft w:val="0"/>
                  <w:marRight w:val="0"/>
                  <w:marTop w:val="0"/>
                  <w:marBottom w:val="0"/>
                  <w:divBdr>
                    <w:top w:val="none" w:sz="0" w:space="0" w:color="auto"/>
                    <w:left w:val="none" w:sz="0" w:space="0" w:color="auto"/>
                    <w:bottom w:val="none" w:sz="0" w:space="0" w:color="auto"/>
                    <w:right w:val="none" w:sz="0" w:space="0" w:color="auto"/>
                  </w:divBdr>
                  <w:divsChild>
                    <w:div w:id="1860460279">
                      <w:marLeft w:val="-150"/>
                      <w:marRight w:val="0"/>
                      <w:marTop w:val="0"/>
                      <w:marBottom w:val="0"/>
                      <w:divBdr>
                        <w:top w:val="single" w:sz="6" w:space="0" w:color="9FC4D8"/>
                        <w:left w:val="single" w:sz="6" w:space="8" w:color="9FC4D8"/>
                        <w:bottom w:val="single" w:sz="24" w:space="0" w:color="9FC4D8"/>
                        <w:right w:val="single" w:sz="6" w:space="8" w:color="9FC4D8"/>
                      </w:divBdr>
                      <w:divsChild>
                        <w:div w:id="1388921243">
                          <w:marLeft w:val="0"/>
                          <w:marRight w:val="150"/>
                          <w:marTop w:val="0"/>
                          <w:marBottom w:val="0"/>
                          <w:divBdr>
                            <w:top w:val="none" w:sz="0" w:space="0" w:color="auto"/>
                            <w:left w:val="none" w:sz="0" w:space="0" w:color="auto"/>
                            <w:bottom w:val="none" w:sz="0" w:space="0" w:color="auto"/>
                            <w:right w:val="none" w:sz="0" w:space="0" w:color="auto"/>
                          </w:divBdr>
                          <w:divsChild>
                            <w:div w:id="871841508">
                              <w:marLeft w:val="0"/>
                              <w:marRight w:val="0"/>
                              <w:marTop w:val="0"/>
                              <w:marBottom w:val="0"/>
                              <w:divBdr>
                                <w:top w:val="none" w:sz="0" w:space="0" w:color="auto"/>
                                <w:left w:val="none" w:sz="0" w:space="0" w:color="auto"/>
                                <w:bottom w:val="none" w:sz="0" w:space="0" w:color="auto"/>
                                <w:right w:val="none" w:sz="0" w:space="0" w:color="auto"/>
                              </w:divBdr>
                              <w:divsChild>
                                <w:div w:id="1379550628">
                                  <w:marLeft w:val="0"/>
                                  <w:marRight w:val="0"/>
                                  <w:marTop w:val="0"/>
                                  <w:marBottom w:val="0"/>
                                  <w:divBdr>
                                    <w:top w:val="none" w:sz="0" w:space="0" w:color="auto"/>
                                    <w:left w:val="none" w:sz="0" w:space="0" w:color="auto"/>
                                    <w:bottom w:val="none" w:sz="0" w:space="0" w:color="auto"/>
                                    <w:right w:val="none" w:sz="0" w:space="0" w:color="auto"/>
                                  </w:divBdr>
                                  <w:divsChild>
                                    <w:div w:id="1442872161">
                                      <w:marLeft w:val="0"/>
                                      <w:marRight w:val="0"/>
                                      <w:marTop w:val="0"/>
                                      <w:marBottom w:val="0"/>
                                      <w:divBdr>
                                        <w:top w:val="none" w:sz="0" w:space="0" w:color="auto"/>
                                        <w:left w:val="none" w:sz="0" w:space="0" w:color="auto"/>
                                        <w:bottom w:val="none" w:sz="0" w:space="0" w:color="auto"/>
                                        <w:right w:val="none" w:sz="0" w:space="0" w:color="auto"/>
                                      </w:divBdr>
                                      <w:divsChild>
                                        <w:div w:id="1254507830">
                                          <w:marLeft w:val="0"/>
                                          <w:marRight w:val="0"/>
                                          <w:marTop w:val="0"/>
                                          <w:marBottom w:val="0"/>
                                          <w:divBdr>
                                            <w:top w:val="none" w:sz="0" w:space="0" w:color="auto"/>
                                            <w:left w:val="none" w:sz="0" w:space="0" w:color="auto"/>
                                            <w:bottom w:val="none" w:sz="0" w:space="0" w:color="auto"/>
                                            <w:right w:val="none" w:sz="0" w:space="0" w:color="auto"/>
                                          </w:divBdr>
                                        </w:div>
                                      </w:divsChild>
                                    </w:div>
                                    <w:div w:id="160491906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981534">
      <w:bodyDiv w:val="1"/>
      <w:marLeft w:val="0"/>
      <w:marRight w:val="0"/>
      <w:marTop w:val="0"/>
      <w:marBottom w:val="0"/>
      <w:divBdr>
        <w:top w:val="none" w:sz="0" w:space="0" w:color="auto"/>
        <w:left w:val="none" w:sz="0" w:space="0" w:color="auto"/>
        <w:bottom w:val="none" w:sz="0" w:space="0" w:color="auto"/>
        <w:right w:val="none" w:sz="0" w:space="0" w:color="auto"/>
      </w:divBdr>
    </w:div>
    <w:div w:id="1526939543">
      <w:bodyDiv w:val="1"/>
      <w:marLeft w:val="0"/>
      <w:marRight w:val="0"/>
      <w:marTop w:val="0"/>
      <w:marBottom w:val="0"/>
      <w:divBdr>
        <w:top w:val="none" w:sz="0" w:space="0" w:color="auto"/>
        <w:left w:val="none" w:sz="0" w:space="0" w:color="auto"/>
        <w:bottom w:val="none" w:sz="0" w:space="0" w:color="auto"/>
        <w:right w:val="none" w:sz="0" w:space="0" w:color="auto"/>
      </w:divBdr>
    </w:div>
    <w:div w:id="1732462444">
      <w:bodyDiv w:val="1"/>
      <w:marLeft w:val="0"/>
      <w:marRight w:val="0"/>
      <w:marTop w:val="0"/>
      <w:marBottom w:val="0"/>
      <w:divBdr>
        <w:top w:val="none" w:sz="0" w:space="0" w:color="auto"/>
        <w:left w:val="none" w:sz="0" w:space="0" w:color="auto"/>
        <w:bottom w:val="none" w:sz="0" w:space="0" w:color="auto"/>
        <w:right w:val="none" w:sz="0" w:space="0" w:color="auto"/>
      </w:divBdr>
    </w:div>
    <w:div w:id="1821384083">
      <w:bodyDiv w:val="1"/>
      <w:marLeft w:val="0"/>
      <w:marRight w:val="0"/>
      <w:marTop w:val="0"/>
      <w:marBottom w:val="0"/>
      <w:divBdr>
        <w:top w:val="none" w:sz="0" w:space="0" w:color="auto"/>
        <w:left w:val="none" w:sz="0" w:space="0" w:color="auto"/>
        <w:bottom w:val="none" w:sz="0" w:space="0" w:color="auto"/>
        <w:right w:val="none" w:sz="0" w:space="0" w:color="auto"/>
      </w:divBdr>
      <w:divsChild>
        <w:div w:id="1462187408">
          <w:marLeft w:val="0"/>
          <w:marRight w:val="0"/>
          <w:marTop w:val="0"/>
          <w:marBottom w:val="0"/>
          <w:divBdr>
            <w:top w:val="none" w:sz="0" w:space="0" w:color="auto"/>
            <w:left w:val="none" w:sz="0" w:space="0" w:color="auto"/>
            <w:bottom w:val="none" w:sz="0" w:space="0" w:color="auto"/>
            <w:right w:val="none" w:sz="0" w:space="0" w:color="auto"/>
          </w:divBdr>
          <w:divsChild>
            <w:div w:id="780758042">
              <w:marLeft w:val="0"/>
              <w:marRight w:val="0"/>
              <w:marTop w:val="0"/>
              <w:marBottom w:val="0"/>
              <w:divBdr>
                <w:top w:val="none" w:sz="0" w:space="0" w:color="auto"/>
                <w:left w:val="none" w:sz="0" w:space="0" w:color="auto"/>
                <w:bottom w:val="none" w:sz="0" w:space="0" w:color="auto"/>
                <w:right w:val="none" w:sz="0" w:space="0" w:color="auto"/>
              </w:divBdr>
              <w:divsChild>
                <w:div w:id="1960529590">
                  <w:marLeft w:val="0"/>
                  <w:marRight w:val="0"/>
                  <w:marTop w:val="0"/>
                  <w:marBottom w:val="0"/>
                  <w:divBdr>
                    <w:top w:val="none" w:sz="0" w:space="0" w:color="auto"/>
                    <w:left w:val="none" w:sz="0" w:space="0" w:color="auto"/>
                    <w:bottom w:val="none" w:sz="0" w:space="0" w:color="auto"/>
                    <w:right w:val="none" w:sz="0" w:space="0" w:color="auto"/>
                  </w:divBdr>
                  <w:divsChild>
                    <w:div w:id="136261011">
                      <w:marLeft w:val="-150"/>
                      <w:marRight w:val="0"/>
                      <w:marTop w:val="0"/>
                      <w:marBottom w:val="0"/>
                      <w:divBdr>
                        <w:top w:val="single" w:sz="6" w:space="0" w:color="9FC4D8"/>
                        <w:left w:val="single" w:sz="6" w:space="8" w:color="9FC4D8"/>
                        <w:bottom w:val="single" w:sz="24" w:space="0" w:color="9FC4D8"/>
                        <w:right w:val="single" w:sz="6" w:space="8" w:color="9FC4D8"/>
                      </w:divBdr>
                      <w:divsChild>
                        <w:div w:id="1382291314">
                          <w:marLeft w:val="0"/>
                          <w:marRight w:val="150"/>
                          <w:marTop w:val="0"/>
                          <w:marBottom w:val="0"/>
                          <w:divBdr>
                            <w:top w:val="none" w:sz="0" w:space="0" w:color="auto"/>
                            <w:left w:val="none" w:sz="0" w:space="0" w:color="auto"/>
                            <w:bottom w:val="none" w:sz="0" w:space="0" w:color="auto"/>
                            <w:right w:val="none" w:sz="0" w:space="0" w:color="auto"/>
                          </w:divBdr>
                          <w:divsChild>
                            <w:div w:id="1827166463">
                              <w:marLeft w:val="0"/>
                              <w:marRight w:val="0"/>
                              <w:marTop w:val="0"/>
                              <w:marBottom w:val="0"/>
                              <w:divBdr>
                                <w:top w:val="none" w:sz="0" w:space="0" w:color="auto"/>
                                <w:left w:val="none" w:sz="0" w:space="0" w:color="auto"/>
                                <w:bottom w:val="none" w:sz="0" w:space="0" w:color="auto"/>
                                <w:right w:val="none" w:sz="0" w:space="0" w:color="auto"/>
                              </w:divBdr>
                              <w:divsChild>
                                <w:div w:id="1263227636">
                                  <w:marLeft w:val="0"/>
                                  <w:marRight w:val="0"/>
                                  <w:marTop w:val="0"/>
                                  <w:marBottom w:val="0"/>
                                  <w:divBdr>
                                    <w:top w:val="none" w:sz="0" w:space="0" w:color="auto"/>
                                    <w:left w:val="none" w:sz="0" w:space="0" w:color="auto"/>
                                    <w:bottom w:val="none" w:sz="0" w:space="0" w:color="auto"/>
                                    <w:right w:val="none" w:sz="0" w:space="0" w:color="auto"/>
                                  </w:divBdr>
                                  <w:divsChild>
                                    <w:div w:id="399014307">
                                      <w:marLeft w:val="0"/>
                                      <w:marRight w:val="0"/>
                                      <w:marTop w:val="330"/>
                                      <w:marBottom w:val="0"/>
                                      <w:divBdr>
                                        <w:top w:val="none" w:sz="0" w:space="0" w:color="auto"/>
                                        <w:left w:val="none" w:sz="0" w:space="0" w:color="auto"/>
                                        <w:bottom w:val="none" w:sz="0" w:space="0" w:color="auto"/>
                                        <w:right w:val="none" w:sz="0" w:space="0" w:color="auto"/>
                                      </w:divBdr>
                                    </w:div>
                                    <w:div w:id="1467813249">
                                      <w:marLeft w:val="0"/>
                                      <w:marRight w:val="0"/>
                                      <w:marTop w:val="0"/>
                                      <w:marBottom w:val="0"/>
                                      <w:divBdr>
                                        <w:top w:val="none" w:sz="0" w:space="0" w:color="auto"/>
                                        <w:left w:val="none" w:sz="0" w:space="0" w:color="auto"/>
                                        <w:bottom w:val="none" w:sz="0" w:space="0" w:color="auto"/>
                                        <w:right w:val="none" w:sz="0" w:space="0" w:color="auto"/>
                                      </w:divBdr>
                                      <w:divsChild>
                                        <w:div w:id="192500654">
                                          <w:marLeft w:val="0"/>
                                          <w:marRight w:val="0"/>
                                          <w:marTop w:val="0"/>
                                          <w:marBottom w:val="0"/>
                                          <w:divBdr>
                                            <w:top w:val="none" w:sz="0" w:space="0" w:color="auto"/>
                                            <w:left w:val="none" w:sz="0" w:space="0" w:color="auto"/>
                                            <w:bottom w:val="none" w:sz="0" w:space="0" w:color="auto"/>
                                            <w:right w:val="none" w:sz="0" w:space="0" w:color="auto"/>
                                          </w:divBdr>
                                        </w:div>
                                      </w:divsChild>
                                    </w:div>
                                    <w:div w:id="1846245725">
                                      <w:marLeft w:val="0"/>
                                      <w:marRight w:val="0"/>
                                      <w:marTop w:val="0"/>
                                      <w:marBottom w:val="0"/>
                                      <w:divBdr>
                                        <w:top w:val="none" w:sz="0" w:space="0" w:color="auto"/>
                                        <w:left w:val="none" w:sz="0" w:space="0" w:color="auto"/>
                                        <w:bottom w:val="none" w:sz="0" w:space="0" w:color="auto"/>
                                        <w:right w:val="none" w:sz="0" w:space="0" w:color="auto"/>
                                      </w:divBdr>
                                      <w:divsChild>
                                        <w:div w:id="109320727">
                                          <w:marLeft w:val="0"/>
                                          <w:marRight w:val="0"/>
                                          <w:marTop w:val="0"/>
                                          <w:marBottom w:val="0"/>
                                          <w:divBdr>
                                            <w:top w:val="none" w:sz="0" w:space="0" w:color="auto"/>
                                            <w:left w:val="none" w:sz="0" w:space="0" w:color="auto"/>
                                            <w:bottom w:val="none" w:sz="0" w:space="0" w:color="auto"/>
                                            <w:right w:val="none" w:sz="0" w:space="0" w:color="auto"/>
                                          </w:divBdr>
                                        </w:div>
                                      </w:divsChild>
                                    </w:div>
                                    <w:div w:id="2060545691">
                                      <w:marLeft w:val="0"/>
                                      <w:marRight w:val="0"/>
                                      <w:marTop w:val="0"/>
                                      <w:marBottom w:val="0"/>
                                      <w:divBdr>
                                        <w:top w:val="none" w:sz="0" w:space="0" w:color="auto"/>
                                        <w:left w:val="none" w:sz="0" w:space="0" w:color="auto"/>
                                        <w:bottom w:val="none" w:sz="0" w:space="0" w:color="auto"/>
                                        <w:right w:val="none" w:sz="0" w:space="0" w:color="auto"/>
                                      </w:divBdr>
                                      <w:divsChild>
                                        <w:div w:id="6277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081370">
      <w:bodyDiv w:val="1"/>
      <w:marLeft w:val="0"/>
      <w:marRight w:val="0"/>
      <w:marTop w:val="0"/>
      <w:marBottom w:val="0"/>
      <w:divBdr>
        <w:top w:val="none" w:sz="0" w:space="0" w:color="auto"/>
        <w:left w:val="none" w:sz="0" w:space="0" w:color="auto"/>
        <w:bottom w:val="none" w:sz="0" w:space="0" w:color="auto"/>
        <w:right w:val="none" w:sz="0" w:space="0" w:color="auto"/>
      </w:divBdr>
      <w:divsChild>
        <w:div w:id="213738269">
          <w:marLeft w:val="0"/>
          <w:marRight w:val="0"/>
          <w:marTop w:val="0"/>
          <w:marBottom w:val="0"/>
          <w:divBdr>
            <w:top w:val="none" w:sz="0" w:space="0" w:color="auto"/>
            <w:left w:val="none" w:sz="0" w:space="0" w:color="auto"/>
            <w:bottom w:val="none" w:sz="0" w:space="0" w:color="auto"/>
            <w:right w:val="none" w:sz="0" w:space="0" w:color="auto"/>
          </w:divBdr>
          <w:divsChild>
            <w:div w:id="696467941">
              <w:marLeft w:val="0"/>
              <w:marRight w:val="0"/>
              <w:marTop w:val="0"/>
              <w:marBottom w:val="0"/>
              <w:divBdr>
                <w:top w:val="none" w:sz="0" w:space="0" w:color="auto"/>
                <w:left w:val="none" w:sz="0" w:space="0" w:color="auto"/>
                <w:bottom w:val="none" w:sz="0" w:space="0" w:color="auto"/>
                <w:right w:val="none" w:sz="0" w:space="0" w:color="auto"/>
              </w:divBdr>
              <w:divsChild>
                <w:div w:id="714230920">
                  <w:marLeft w:val="0"/>
                  <w:marRight w:val="0"/>
                  <w:marTop w:val="0"/>
                  <w:marBottom w:val="0"/>
                  <w:divBdr>
                    <w:top w:val="none" w:sz="0" w:space="0" w:color="auto"/>
                    <w:left w:val="none" w:sz="0" w:space="0" w:color="auto"/>
                    <w:bottom w:val="none" w:sz="0" w:space="0" w:color="auto"/>
                    <w:right w:val="none" w:sz="0" w:space="0" w:color="auto"/>
                  </w:divBdr>
                  <w:divsChild>
                    <w:div w:id="96291920">
                      <w:marLeft w:val="-150"/>
                      <w:marRight w:val="0"/>
                      <w:marTop w:val="0"/>
                      <w:marBottom w:val="0"/>
                      <w:divBdr>
                        <w:top w:val="single" w:sz="6" w:space="0" w:color="9FC4D8"/>
                        <w:left w:val="single" w:sz="6" w:space="8" w:color="9FC4D8"/>
                        <w:bottom w:val="single" w:sz="24" w:space="0" w:color="9FC4D8"/>
                        <w:right w:val="single" w:sz="6" w:space="8" w:color="9FC4D8"/>
                      </w:divBdr>
                      <w:divsChild>
                        <w:div w:id="1587302142">
                          <w:marLeft w:val="0"/>
                          <w:marRight w:val="150"/>
                          <w:marTop w:val="0"/>
                          <w:marBottom w:val="0"/>
                          <w:divBdr>
                            <w:top w:val="none" w:sz="0" w:space="0" w:color="auto"/>
                            <w:left w:val="none" w:sz="0" w:space="0" w:color="auto"/>
                            <w:bottom w:val="none" w:sz="0" w:space="0" w:color="auto"/>
                            <w:right w:val="none" w:sz="0" w:space="0" w:color="auto"/>
                          </w:divBdr>
                          <w:divsChild>
                            <w:div w:id="769394330">
                              <w:marLeft w:val="0"/>
                              <w:marRight w:val="0"/>
                              <w:marTop w:val="0"/>
                              <w:marBottom w:val="0"/>
                              <w:divBdr>
                                <w:top w:val="none" w:sz="0" w:space="0" w:color="auto"/>
                                <w:left w:val="none" w:sz="0" w:space="0" w:color="auto"/>
                                <w:bottom w:val="none" w:sz="0" w:space="0" w:color="auto"/>
                                <w:right w:val="none" w:sz="0" w:space="0" w:color="auto"/>
                              </w:divBdr>
                              <w:divsChild>
                                <w:div w:id="744717952">
                                  <w:marLeft w:val="0"/>
                                  <w:marRight w:val="0"/>
                                  <w:marTop w:val="0"/>
                                  <w:marBottom w:val="0"/>
                                  <w:divBdr>
                                    <w:top w:val="none" w:sz="0" w:space="0" w:color="auto"/>
                                    <w:left w:val="none" w:sz="0" w:space="0" w:color="auto"/>
                                    <w:bottom w:val="none" w:sz="0" w:space="0" w:color="auto"/>
                                    <w:right w:val="none" w:sz="0" w:space="0" w:color="auto"/>
                                  </w:divBdr>
                                  <w:divsChild>
                                    <w:div w:id="7369868">
                                      <w:marLeft w:val="0"/>
                                      <w:marRight w:val="0"/>
                                      <w:marTop w:val="0"/>
                                      <w:marBottom w:val="0"/>
                                      <w:divBdr>
                                        <w:top w:val="none" w:sz="0" w:space="0" w:color="auto"/>
                                        <w:left w:val="none" w:sz="0" w:space="0" w:color="auto"/>
                                        <w:bottom w:val="none" w:sz="0" w:space="0" w:color="auto"/>
                                        <w:right w:val="none" w:sz="0" w:space="0" w:color="auto"/>
                                      </w:divBdr>
                                      <w:divsChild>
                                        <w:div w:id="1600676824">
                                          <w:marLeft w:val="0"/>
                                          <w:marRight w:val="0"/>
                                          <w:marTop w:val="0"/>
                                          <w:marBottom w:val="0"/>
                                          <w:divBdr>
                                            <w:top w:val="none" w:sz="0" w:space="0" w:color="auto"/>
                                            <w:left w:val="none" w:sz="0" w:space="0" w:color="auto"/>
                                            <w:bottom w:val="none" w:sz="0" w:space="0" w:color="auto"/>
                                            <w:right w:val="none" w:sz="0" w:space="0" w:color="auto"/>
                                          </w:divBdr>
                                        </w:div>
                                      </w:divsChild>
                                    </w:div>
                                    <w:div w:id="73629030">
                                      <w:marLeft w:val="0"/>
                                      <w:marRight w:val="0"/>
                                      <w:marTop w:val="0"/>
                                      <w:marBottom w:val="0"/>
                                      <w:divBdr>
                                        <w:top w:val="none" w:sz="0" w:space="0" w:color="auto"/>
                                        <w:left w:val="none" w:sz="0" w:space="0" w:color="auto"/>
                                        <w:bottom w:val="none" w:sz="0" w:space="0" w:color="auto"/>
                                        <w:right w:val="none" w:sz="0" w:space="0" w:color="auto"/>
                                      </w:divBdr>
                                      <w:divsChild>
                                        <w:div w:id="1092817571">
                                          <w:marLeft w:val="0"/>
                                          <w:marRight w:val="0"/>
                                          <w:marTop w:val="0"/>
                                          <w:marBottom w:val="0"/>
                                          <w:divBdr>
                                            <w:top w:val="none" w:sz="0" w:space="0" w:color="auto"/>
                                            <w:left w:val="none" w:sz="0" w:space="0" w:color="auto"/>
                                            <w:bottom w:val="none" w:sz="0" w:space="0" w:color="auto"/>
                                            <w:right w:val="none" w:sz="0" w:space="0" w:color="auto"/>
                                          </w:divBdr>
                                        </w:div>
                                      </w:divsChild>
                                    </w:div>
                                    <w:div w:id="390925324">
                                      <w:marLeft w:val="0"/>
                                      <w:marRight w:val="0"/>
                                      <w:marTop w:val="330"/>
                                      <w:marBottom w:val="0"/>
                                      <w:divBdr>
                                        <w:top w:val="none" w:sz="0" w:space="0" w:color="auto"/>
                                        <w:left w:val="none" w:sz="0" w:space="0" w:color="auto"/>
                                        <w:bottom w:val="none" w:sz="0" w:space="0" w:color="auto"/>
                                        <w:right w:val="none" w:sz="0" w:space="0" w:color="auto"/>
                                      </w:divBdr>
                                    </w:div>
                                    <w:div w:id="431828319">
                                      <w:marLeft w:val="0"/>
                                      <w:marRight w:val="0"/>
                                      <w:marTop w:val="0"/>
                                      <w:marBottom w:val="0"/>
                                      <w:divBdr>
                                        <w:top w:val="none" w:sz="0" w:space="0" w:color="auto"/>
                                        <w:left w:val="none" w:sz="0" w:space="0" w:color="auto"/>
                                        <w:bottom w:val="none" w:sz="0" w:space="0" w:color="auto"/>
                                        <w:right w:val="none" w:sz="0" w:space="0" w:color="auto"/>
                                      </w:divBdr>
                                      <w:divsChild>
                                        <w:div w:id="681392513">
                                          <w:marLeft w:val="0"/>
                                          <w:marRight w:val="0"/>
                                          <w:marTop w:val="0"/>
                                          <w:marBottom w:val="0"/>
                                          <w:divBdr>
                                            <w:top w:val="none" w:sz="0" w:space="0" w:color="auto"/>
                                            <w:left w:val="none" w:sz="0" w:space="0" w:color="auto"/>
                                            <w:bottom w:val="none" w:sz="0" w:space="0" w:color="auto"/>
                                            <w:right w:val="none" w:sz="0" w:space="0" w:color="auto"/>
                                          </w:divBdr>
                                        </w:div>
                                      </w:divsChild>
                                    </w:div>
                                    <w:div w:id="1255476629">
                                      <w:marLeft w:val="0"/>
                                      <w:marRight w:val="0"/>
                                      <w:marTop w:val="0"/>
                                      <w:marBottom w:val="0"/>
                                      <w:divBdr>
                                        <w:top w:val="none" w:sz="0" w:space="0" w:color="auto"/>
                                        <w:left w:val="none" w:sz="0" w:space="0" w:color="auto"/>
                                        <w:bottom w:val="none" w:sz="0" w:space="0" w:color="auto"/>
                                        <w:right w:val="none" w:sz="0" w:space="0" w:color="auto"/>
                                      </w:divBdr>
                                      <w:divsChild>
                                        <w:div w:id="14868163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493698">
      <w:bodyDiv w:val="1"/>
      <w:marLeft w:val="0"/>
      <w:marRight w:val="0"/>
      <w:marTop w:val="0"/>
      <w:marBottom w:val="0"/>
      <w:divBdr>
        <w:top w:val="none" w:sz="0" w:space="0" w:color="auto"/>
        <w:left w:val="none" w:sz="0" w:space="0" w:color="auto"/>
        <w:bottom w:val="none" w:sz="0" w:space="0" w:color="auto"/>
        <w:right w:val="none" w:sz="0" w:space="0" w:color="auto"/>
      </w:divBdr>
      <w:divsChild>
        <w:div w:id="1325016243">
          <w:marLeft w:val="0"/>
          <w:marRight w:val="0"/>
          <w:marTop w:val="0"/>
          <w:marBottom w:val="0"/>
          <w:divBdr>
            <w:top w:val="none" w:sz="0" w:space="0" w:color="auto"/>
            <w:left w:val="none" w:sz="0" w:space="0" w:color="auto"/>
            <w:bottom w:val="none" w:sz="0" w:space="0" w:color="auto"/>
            <w:right w:val="none" w:sz="0" w:space="0" w:color="auto"/>
          </w:divBdr>
        </w:div>
        <w:div w:id="1660618097">
          <w:marLeft w:val="0"/>
          <w:marRight w:val="0"/>
          <w:marTop w:val="0"/>
          <w:marBottom w:val="0"/>
          <w:divBdr>
            <w:top w:val="none" w:sz="0" w:space="0" w:color="auto"/>
            <w:left w:val="none" w:sz="0" w:space="0" w:color="auto"/>
            <w:bottom w:val="none" w:sz="0" w:space="0" w:color="auto"/>
            <w:right w:val="none" w:sz="0" w:space="0" w:color="auto"/>
          </w:divBdr>
        </w:div>
      </w:divsChild>
    </w:div>
    <w:div w:id="1881360440">
      <w:bodyDiv w:val="1"/>
      <w:marLeft w:val="0"/>
      <w:marRight w:val="0"/>
      <w:marTop w:val="0"/>
      <w:marBottom w:val="0"/>
      <w:divBdr>
        <w:top w:val="none" w:sz="0" w:space="0" w:color="auto"/>
        <w:left w:val="none" w:sz="0" w:space="0" w:color="auto"/>
        <w:bottom w:val="none" w:sz="0" w:space="0" w:color="auto"/>
        <w:right w:val="none" w:sz="0" w:space="0" w:color="auto"/>
      </w:divBdr>
    </w:div>
    <w:div w:id="1930700864">
      <w:bodyDiv w:val="1"/>
      <w:marLeft w:val="0"/>
      <w:marRight w:val="0"/>
      <w:marTop w:val="0"/>
      <w:marBottom w:val="0"/>
      <w:divBdr>
        <w:top w:val="none" w:sz="0" w:space="0" w:color="auto"/>
        <w:left w:val="none" w:sz="0" w:space="0" w:color="auto"/>
        <w:bottom w:val="none" w:sz="0" w:space="0" w:color="auto"/>
        <w:right w:val="none" w:sz="0" w:space="0" w:color="auto"/>
      </w:divBdr>
      <w:divsChild>
        <w:div w:id="575745300">
          <w:marLeft w:val="0"/>
          <w:marRight w:val="0"/>
          <w:marTop w:val="0"/>
          <w:marBottom w:val="0"/>
          <w:divBdr>
            <w:top w:val="none" w:sz="0" w:space="0" w:color="auto"/>
            <w:left w:val="none" w:sz="0" w:space="0" w:color="auto"/>
            <w:bottom w:val="none" w:sz="0" w:space="0" w:color="auto"/>
            <w:right w:val="none" w:sz="0" w:space="0" w:color="auto"/>
          </w:divBdr>
          <w:divsChild>
            <w:div w:id="2141268078">
              <w:marLeft w:val="0"/>
              <w:marRight w:val="0"/>
              <w:marTop w:val="0"/>
              <w:marBottom w:val="0"/>
              <w:divBdr>
                <w:top w:val="none" w:sz="0" w:space="0" w:color="auto"/>
                <w:left w:val="none" w:sz="0" w:space="0" w:color="auto"/>
                <w:bottom w:val="none" w:sz="0" w:space="0" w:color="auto"/>
                <w:right w:val="none" w:sz="0" w:space="0" w:color="auto"/>
              </w:divBdr>
              <w:divsChild>
                <w:div w:id="863136088">
                  <w:marLeft w:val="0"/>
                  <w:marRight w:val="0"/>
                  <w:marTop w:val="0"/>
                  <w:marBottom w:val="0"/>
                  <w:divBdr>
                    <w:top w:val="none" w:sz="0" w:space="0" w:color="auto"/>
                    <w:left w:val="none" w:sz="0" w:space="0" w:color="auto"/>
                    <w:bottom w:val="none" w:sz="0" w:space="0" w:color="auto"/>
                    <w:right w:val="none" w:sz="0" w:space="0" w:color="auto"/>
                  </w:divBdr>
                  <w:divsChild>
                    <w:div w:id="874270840">
                      <w:marLeft w:val="-150"/>
                      <w:marRight w:val="0"/>
                      <w:marTop w:val="0"/>
                      <w:marBottom w:val="0"/>
                      <w:divBdr>
                        <w:top w:val="single" w:sz="6" w:space="0" w:color="9FC4D8"/>
                        <w:left w:val="single" w:sz="6" w:space="8" w:color="9FC4D8"/>
                        <w:bottom w:val="single" w:sz="24" w:space="0" w:color="9FC4D8"/>
                        <w:right w:val="single" w:sz="6" w:space="8" w:color="9FC4D8"/>
                      </w:divBdr>
                      <w:divsChild>
                        <w:div w:id="646710303">
                          <w:marLeft w:val="0"/>
                          <w:marRight w:val="150"/>
                          <w:marTop w:val="0"/>
                          <w:marBottom w:val="0"/>
                          <w:divBdr>
                            <w:top w:val="none" w:sz="0" w:space="0" w:color="auto"/>
                            <w:left w:val="none" w:sz="0" w:space="0" w:color="auto"/>
                            <w:bottom w:val="none" w:sz="0" w:space="0" w:color="auto"/>
                            <w:right w:val="none" w:sz="0" w:space="0" w:color="auto"/>
                          </w:divBdr>
                          <w:divsChild>
                            <w:div w:id="951398381">
                              <w:marLeft w:val="0"/>
                              <w:marRight w:val="0"/>
                              <w:marTop w:val="0"/>
                              <w:marBottom w:val="0"/>
                              <w:divBdr>
                                <w:top w:val="none" w:sz="0" w:space="0" w:color="auto"/>
                                <w:left w:val="none" w:sz="0" w:space="0" w:color="auto"/>
                                <w:bottom w:val="none" w:sz="0" w:space="0" w:color="auto"/>
                                <w:right w:val="none" w:sz="0" w:space="0" w:color="auto"/>
                              </w:divBdr>
                              <w:divsChild>
                                <w:div w:id="1450465071">
                                  <w:marLeft w:val="0"/>
                                  <w:marRight w:val="0"/>
                                  <w:marTop w:val="0"/>
                                  <w:marBottom w:val="0"/>
                                  <w:divBdr>
                                    <w:top w:val="none" w:sz="0" w:space="0" w:color="auto"/>
                                    <w:left w:val="none" w:sz="0" w:space="0" w:color="auto"/>
                                    <w:bottom w:val="none" w:sz="0" w:space="0" w:color="auto"/>
                                    <w:right w:val="none" w:sz="0" w:space="0" w:color="auto"/>
                                  </w:divBdr>
                                  <w:divsChild>
                                    <w:div w:id="260340356">
                                      <w:marLeft w:val="0"/>
                                      <w:marRight w:val="0"/>
                                      <w:marTop w:val="0"/>
                                      <w:marBottom w:val="0"/>
                                      <w:divBdr>
                                        <w:top w:val="none" w:sz="0" w:space="0" w:color="auto"/>
                                        <w:left w:val="none" w:sz="0" w:space="0" w:color="auto"/>
                                        <w:bottom w:val="none" w:sz="0" w:space="0" w:color="auto"/>
                                        <w:right w:val="none" w:sz="0" w:space="0" w:color="auto"/>
                                      </w:divBdr>
                                      <w:divsChild>
                                        <w:div w:id="1646398365">
                                          <w:marLeft w:val="0"/>
                                          <w:marRight w:val="0"/>
                                          <w:marTop w:val="0"/>
                                          <w:marBottom w:val="0"/>
                                          <w:divBdr>
                                            <w:top w:val="none" w:sz="0" w:space="0" w:color="auto"/>
                                            <w:left w:val="none" w:sz="0" w:space="0" w:color="auto"/>
                                            <w:bottom w:val="none" w:sz="0" w:space="0" w:color="auto"/>
                                            <w:right w:val="none" w:sz="0" w:space="0" w:color="auto"/>
                                          </w:divBdr>
                                        </w:div>
                                      </w:divsChild>
                                    </w:div>
                                    <w:div w:id="924001065">
                                      <w:marLeft w:val="0"/>
                                      <w:marRight w:val="0"/>
                                      <w:marTop w:val="0"/>
                                      <w:marBottom w:val="0"/>
                                      <w:divBdr>
                                        <w:top w:val="none" w:sz="0" w:space="0" w:color="auto"/>
                                        <w:left w:val="none" w:sz="0" w:space="0" w:color="auto"/>
                                        <w:bottom w:val="none" w:sz="0" w:space="0" w:color="auto"/>
                                        <w:right w:val="none" w:sz="0" w:space="0" w:color="auto"/>
                                      </w:divBdr>
                                      <w:divsChild>
                                        <w:div w:id="372075629">
                                          <w:marLeft w:val="0"/>
                                          <w:marRight w:val="0"/>
                                          <w:marTop w:val="0"/>
                                          <w:marBottom w:val="0"/>
                                          <w:divBdr>
                                            <w:top w:val="none" w:sz="0" w:space="0" w:color="auto"/>
                                            <w:left w:val="none" w:sz="0" w:space="0" w:color="auto"/>
                                            <w:bottom w:val="none" w:sz="0" w:space="0" w:color="auto"/>
                                            <w:right w:val="none" w:sz="0" w:space="0" w:color="auto"/>
                                          </w:divBdr>
                                        </w:div>
                                      </w:divsChild>
                                    </w:div>
                                    <w:div w:id="115121033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066267">
      <w:bodyDiv w:val="1"/>
      <w:marLeft w:val="0"/>
      <w:marRight w:val="0"/>
      <w:marTop w:val="0"/>
      <w:marBottom w:val="0"/>
      <w:divBdr>
        <w:top w:val="none" w:sz="0" w:space="0" w:color="auto"/>
        <w:left w:val="none" w:sz="0" w:space="0" w:color="auto"/>
        <w:bottom w:val="none" w:sz="0" w:space="0" w:color="auto"/>
        <w:right w:val="none" w:sz="0" w:space="0" w:color="auto"/>
      </w:divBdr>
      <w:divsChild>
        <w:div w:id="611938819">
          <w:marLeft w:val="0"/>
          <w:marRight w:val="0"/>
          <w:marTop w:val="0"/>
          <w:marBottom w:val="0"/>
          <w:divBdr>
            <w:top w:val="none" w:sz="0" w:space="0" w:color="auto"/>
            <w:left w:val="none" w:sz="0" w:space="0" w:color="auto"/>
            <w:bottom w:val="none" w:sz="0" w:space="0" w:color="auto"/>
            <w:right w:val="none" w:sz="0" w:space="0" w:color="auto"/>
          </w:divBdr>
          <w:divsChild>
            <w:div w:id="918364377">
              <w:marLeft w:val="0"/>
              <w:marRight w:val="0"/>
              <w:marTop w:val="0"/>
              <w:marBottom w:val="0"/>
              <w:divBdr>
                <w:top w:val="none" w:sz="0" w:space="0" w:color="auto"/>
                <w:left w:val="none" w:sz="0" w:space="0" w:color="auto"/>
                <w:bottom w:val="none" w:sz="0" w:space="0" w:color="auto"/>
                <w:right w:val="none" w:sz="0" w:space="0" w:color="auto"/>
              </w:divBdr>
              <w:divsChild>
                <w:div w:id="1142625049">
                  <w:marLeft w:val="0"/>
                  <w:marRight w:val="0"/>
                  <w:marTop w:val="0"/>
                  <w:marBottom w:val="0"/>
                  <w:divBdr>
                    <w:top w:val="none" w:sz="0" w:space="0" w:color="auto"/>
                    <w:left w:val="none" w:sz="0" w:space="0" w:color="auto"/>
                    <w:bottom w:val="none" w:sz="0" w:space="0" w:color="auto"/>
                    <w:right w:val="none" w:sz="0" w:space="0" w:color="auto"/>
                  </w:divBdr>
                  <w:divsChild>
                    <w:div w:id="21332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04474">
      <w:bodyDiv w:val="1"/>
      <w:marLeft w:val="0"/>
      <w:marRight w:val="0"/>
      <w:marTop w:val="0"/>
      <w:marBottom w:val="0"/>
      <w:divBdr>
        <w:top w:val="none" w:sz="0" w:space="0" w:color="auto"/>
        <w:left w:val="none" w:sz="0" w:space="0" w:color="auto"/>
        <w:bottom w:val="none" w:sz="0" w:space="0" w:color="auto"/>
        <w:right w:val="none" w:sz="0" w:space="0" w:color="auto"/>
      </w:divBdr>
      <w:divsChild>
        <w:div w:id="1530602408">
          <w:marLeft w:val="0"/>
          <w:marRight w:val="0"/>
          <w:marTop w:val="0"/>
          <w:marBottom w:val="0"/>
          <w:divBdr>
            <w:top w:val="none" w:sz="0" w:space="0" w:color="auto"/>
            <w:left w:val="none" w:sz="0" w:space="0" w:color="auto"/>
            <w:bottom w:val="none" w:sz="0" w:space="0" w:color="auto"/>
            <w:right w:val="none" w:sz="0" w:space="0" w:color="auto"/>
          </w:divBdr>
          <w:divsChild>
            <w:div w:id="296029741">
              <w:marLeft w:val="0"/>
              <w:marRight w:val="0"/>
              <w:marTop w:val="0"/>
              <w:marBottom w:val="0"/>
              <w:divBdr>
                <w:top w:val="none" w:sz="0" w:space="0" w:color="auto"/>
                <w:left w:val="none" w:sz="0" w:space="0" w:color="auto"/>
                <w:bottom w:val="none" w:sz="0" w:space="0" w:color="auto"/>
                <w:right w:val="none" w:sz="0" w:space="0" w:color="auto"/>
              </w:divBdr>
              <w:divsChild>
                <w:div w:id="397094806">
                  <w:marLeft w:val="0"/>
                  <w:marRight w:val="0"/>
                  <w:marTop w:val="0"/>
                  <w:marBottom w:val="0"/>
                  <w:divBdr>
                    <w:top w:val="none" w:sz="0" w:space="0" w:color="auto"/>
                    <w:left w:val="none" w:sz="0" w:space="0" w:color="auto"/>
                    <w:bottom w:val="none" w:sz="0" w:space="0" w:color="auto"/>
                    <w:right w:val="none" w:sz="0" w:space="0" w:color="auto"/>
                  </w:divBdr>
                  <w:divsChild>
                    <w:div w:id="733040256">
                      <w:marLeft w:val="-150"/>
                      <w:marRight w:val="0"/>
                      <w:marTop w:val="0"/>
                      <w:marBottom w:val="0"/>
                      <w:divBdr>
                        <w:top w:val="single" w:sz="6" w:space="0" w:color="9FC4D8"/>
                        <w:left w:val="single" w:sz="6" w:space="8" w:color="9FC4D8"/>
                        <w:bottom w:val="single" w:sz="24" w:space="0" w:color="9FC4D8"/>
                        <w:right w:val="single" w:sz="6" w:space="8" w:color="9FC4D8"/>
                      </w:divBdr>
                      <w:divsChild>
                        <w:div w:id="963735464">
                          <w:marLeft w:val="0"/>
                          <w:marRight w:val="150"/>
                          <w:marTop w:val="0"/>
                          <w:marBottom w:val="0"/>
                          <w:divBdr>
                            <w:top w:val="none" w:sz="0" w:space="0" w:color="auto"/>
                            <w:left w:val="none" w:sz="0" w:space="0" w:color="auto"/>
                            <w:bottom w:val="none" w:sz="0" w:space="0" w:color="auto"/>
                            <w:right w:val="none" w:sz="0" w:space="0" w:color="auto"/>
                          </w:divBdr>
                          <w:divsChild>
                            <w:div w:id="1336881814">
                              <w:marLeft w:val="0"/>
                              <w:marRight w:val="0"/>
                              <w:marTop w:val="0"/>
                              <w:marBottom w:val="0"/>
                              <w:divBdr>
                                <w:top w:val="none" w:sz="0" w:space="0" w:color="auto"/>
                                <w:left w:val="none" w:sz="0" w:space="0" w:color="auto"/>
                                <w:bottom w:val="none" w:sz="0" w:space="0" w:color="auto"/>
                                <w:right w:val="none" w:sz="0" w:space="0" w:color="auto"/>
                              </w:divBdr>
                              <w:divsChild>
                                <w:div w:id="646862296">
                                  <w:marLeft w:val="0"/>
                                  <w:marRight w:val="0"/>
                                  <w:marTop w:val="0"/>
                                  <w:marBottom w:val="0"/>
                                  <w:divBdr>
                                    <w:top w:val="none" w:sz="0" w:space="0" w:color="auto"/>
                                    <w:left w:val="none" w:sz="0" w:space="0" w:color="auto"/>
                                    <w:bottom w:val="none" w:sz="0" w:space="0" w:color="auto"/>
                                    <w:right w:val="none" w:sz="0" w:space="0" w:color="auto"/>
                                  </w:divBdr>
                                  <w:divsChild>
                                    <w:div w:id="118426451">
                                      <w:marLeft w:val="0"/>
                                      <w:marRight w:val="0"/>
                                      <w:marTop w:val="0"/>
                                      <w:marBottom w:val="0"/>
                                      <w:divBdr>
                                        <w:top w:val="none" w:sz="0" w:space="0" w:color="auto"/>
                                        <w:left w:val="none" w:sz="0" w:space="0" w:color="auto"/>
                                        <w:bottom w:val="none" w:sz="0" w:space="0" w:color="auto"/>
                                        <w:right w:val="none" w:sz="0" w:space="0" w:color="auto"/>
                                      </w:divBdr>
                                      <w:divsChild>
                                        <w:div w:id="36854023">
                                          <w:marLeft w:val="0"/>
                                          <w:marRight w:val="0"/>
                                          <w:marTop w:val="0"/>
                                          <w:marBottom w:val="0"/>
                                          <w:divBdr>
                                            <w:top w:val="none" w:sz="0" w:space="0" w:color="auto"/>
                                            <w:left w:val="none" w:sz="0" w:space="0" w:color="auto"/>
                                            <w:bottom w:val="none" w:sz="0" w:space="0" w:color="auto"/>
                                            <w:right w:val="none" w:sz="0" w:space="0" w:color="auto"/>
                                          </w:divBdr>
                                        </w:div>
                                      </w:divsChild>
                                    </w:div>
                                    <w:div w:id="432824484">
                                      <w:marLeft w:val="0"/>
                                      <w:marRight w:val="0"/>
                                      <w:marTop w:val="0"/>
                                      <w:marBottom w:val="0"/>
                                      <w:divBdr>
                                        <w:top w:val="none" w:sz="0" w:space="0" w:color="auto"/>
                                        <w:left w:val="none" w:sz="0" w:space="0" w:color="auto"/>
                                        <w:bottom w:val="none" w:sz="0" w:space="0" w:color="auto"/>
                                        <w:right w:val="none" w:sz="0" w:space="0" w:color="auto"/>
                                      </w:divBdr>
                                      <w:divsChild>
                                        <w:div w:id="1874269122">
                                          <w:marLeft w:val="0"/>
                                          <w:marRight w:val="0"/>
                                          <w:marTop w:val="0"/>
                                          <w:marBottom w:val="0"/>
                                          <w:divBdr>
                                            <w:top w:val="none" w:sz="0" w:space="0" w:color="auto"/>
                                            <w:left w:val="none" w:sz="0" w:space="0" w:color="auto"/>
                                            <w:bottom w:val="none" w:sz="0" w:space="0" w:color="auto"/>
                                            <w:right w:val="none" w:sz="0" w:space="0" w:color="auto"/>
                                          </w:divBdr>
                                        </w:div>
                                      </w:divsChild>
                                    </w:div>
                                    <w:div w:id="962466583">
                                      <w:marLeft w:val="0"/>
                                      <w:marRight w:val="0"/>
                                      <w:marTop w:val="330"/>
                                      <w:marBottom w:val="0"/>
                                      <w:divBdr>
                                        <w:top w:val="none" w:sz="0" w:space="0" w:color="auto"/>
                                        <w:left w:val="none" w:sz="0" w:space="0" w:color="auto"/>
                                        <w:bottom w:val="none" w:sz="0" w:space="0" w:color="auto"/>
                                        <w:right w:val="none" w:sz="0" w:space="0" w:color="auto"/>
                                      </w:divBdr>
                                    </w:div>
                                    <w:div w:id="1110854751">
                                      <w:marLeft w:val="0"/>
                                      <w:marRight w:val="0"/>
                                      <w:marTop w:val="0"/>
                                      <w:marBottom w:val="0"/>
                                      <w:divBdr>
                                        <w:top w:val="none" w:sz="0" w:space="0" w:color="auto"/>
                                        <w:left w:val="none" w:sz="0" w:space="0" w:color="auto"/>
                                        <w:bottom w:val="none" w:sz="0" w:space="0" w:color="auto"/>
                                        <w:right w:val="none" w:sz="0" w:space="0" w:color="auto"/>
                                      </w:divBdr>
                                      <w:divsChild>
                                        <w:div w:id="15234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96372">
      <w:bodyDiv w:val="1"/>
      <w:marLeft w:val="0"/>
      <w:marRight w:val="0"/>
      <w:marTop w:val="0"/>
      <w:marBottom w:val="0"/>
      <w:divBdr>
        <w:top w:val="none" w:sz="0" w:space="0" w:color="auto"/>
        <w:left w:val="none" w:sz="0" w:space="0" w:color="auto"/>
        <w:bottom w:val="none" w:sz="0" w:space="0" w:color="auto"/>
        <w:right w:val="none" w:sz="0" w:space="0" w:color="auto"/>
      </w:divBdr>
      <w:divsChild>
        <w:div w:id="95450116">
          <w:marLeft w:val="0"/>
          <w:marRight w:val="0"/>
          <w:marTop w:val="0"/>
          <w:marBottom w:val="0"/>
          <w:divBdr>
            <w:top w:val="none" w:sz="0" w:space="0" w:color="auto"/>
            <w:left w:val="none" w:sz="0" w:space="0" w:color="auto"/>
            <w:bottom w:val="none" w:sz="0" w:space="0" w:color="auto"/>
            <w:right w:val="none" w:sz="0" w:space="0" w:color="auto"/>
          </w:divBdr>
          <w:divsChild>
            <w:div w:id="324092479">
              <w:marLeft w:val="0"/>
              <w:marRight w:val="0"/>
              <w:marTop w:val="0"/>
              <w:marBottom w:val="0"/>
              <w:divBdr>
                <w:top w:val="none" w:sz="0" w:space="0" w:color="auto"/>
                <w:left w:val="none" w:sz="0" w:space="0" w:color="auto"/>
                <w:bottom w:val="none" w:sz="0" w:space="0" w:color="auto"/>
                <w:right w:val="none" w:sz="0" w:space="0" w:color="auto"/>
              </w:divBdr>
              <w:divsChild>
                <w:div w:id="2126388627">
                  <w:marLeft w:val="0"/>
                  <w:marRight w:val="0"/>
                  <w:marTop w:val="0"/>
                  <w:marBottom w:val="0"/>
                  <w:divBdr>
                    <w:top w:val="none" w:sz="0" w:space="0" w:color="auto"/>
                    <w:left w:val="none" w:sz="0" w:space="0" w:color="auto"/>
                    <w:bottom w:val="none" w:sz="0" w:space="0" w:color="auto"/>
                    <w:right w:val="none" w:sz="0" w:space="0" w:color="auto"/>
                  </w:divBdr>
                  <w:divsChild>
                    <w:div w:id="1234655962">
                      <w:marLeft w:val="-150"/>
                      <w:marRight w:val="0"/>
                      <w:marTop w:val="0"/>
                      <w:marBottom w:val="0"/>
                      <w:divBdr>
                        <w:top w:val="single" w:sz="6" w:space="0" w:color="9FC4D8"/>
                        <w:left w:val="single" w:sz="6" w:space="8" w:color="9FC4D8"/>
                        <w:bottom w:val="single" w:sz="24" w:space="0" w:color="9FC4D8"/>
                        <w:right w:val="single" w:sz="6" w:space="8" w:color="9FC4D8"/>
                      </w:divBdr>
                      <w:divsChild>
                        <w:div w:id="1161969767">
                          <w:marLeft w:val="0"/>
                          <w:marRight w:val="150"/>
                          <w:marTop w:val="0"/>
                          <w:marBottom w:val="0"/>
                          <w:divBdr>
                            <w:top w:val="none" w:sz="0" w:space="0" w:color="auto"/>
                            <w:left w:val="none" w:sz="0" w:space="0" w:color="auto"/>
                            <w:bottom w:val="none" w:sz="0" w:space="0" w:color="auto"/>
                            <w:right w:val="none" w:sz="0" w:space="0" w:color="auto"/>
                          </w:divBdr>
                          <w:divsChild>
                            <w:div w:id="1585068014">
                              <w:marLeft w:val="0"/>
                              <w:marRight w:val="0"/>
                              <w:marTop w:val="0"/>
                              <w:marBottom w:val="0"/>
                              <w:divBdr>
                                <w:top w:val="none" w:sz="0" w:space="0" w:color="auto"/>
                                <w:left w:val="none" w:sz="0" w:space="0" w:color="auto"/>
                                <w:bottom w:val="none" w:sz="0" w:space="0" w:color="auto"/>
                                <w:right w:val="none" w:sz="0" w:space="0" w:color="auto"/>
                              </w:divBdr>
                              <w:divsChild>
                                <w:div w:id="1269266296">
                                  <w:marLeft w:val="0"/>
                                  <w:marRight w:val="0"/>
                                  <w:marTop w:val="0"/>
                                  <w:marBottom w:val="0"/>
                                  <w:divBdr>
                                    <w:top w:val="none" w:sz="0" w:space="0" w:color="auto"/>
                                    <w:left w:val="none" w:sz="0" w:space="0" w:color="auto"/>
                                    <w:bottom w:val="none" w:sz="0" w:space="0" w:color="auto"/>
                                    <w:right w:val="none" w:sz="0" w:space="0" w:color="auto"/>
                                  </w:divBdr>
                                  <w:divsChild>
                                    <w:div w:id="506945461">
                                      <w:marLeft w:val="0"/>
                                      <w:marRight w:val="0"/>
                                      <w:marTop w:val="330"/>
                                      <w:marBottom w:val="0"/>
                                      <w:divBdr>
                                        <w:top w:val="none" w:sz="0" w:space="0" w:color="auto"/>
                                        <w:left w:val="none" w:sz="0" w:space="0" w:color="auto"/>
                                        <w:bottom w:val="none" w:sz="0" w:space="0" w:color="auto"/>
                                        <w:right w:val="none" w:sz="0" w:space="0" w:color="auto"/>
                                      </w:divBdr>
                                    </w:div>
                                    <w:div w:id="1209220402">
                                      <w:marLeft w:val="0"/>
                                      <w:marRight w:val="0"/>
                                      <w:marTop w:val="0"/>
                                      <w:marBottom w:val="0"/>
                                      <w:divBdr>
                                        <w:top w:val="none" w:sz="0" w:space="0" w:color="auto"/>
                                        <w:left w:val="none" w:sz="0" w:space="0" w:color="auto"/>
                                        <w:bottom w:val="none" w:sz="0" w:space="0" w:color="auto"/>
                                        <w:right w:val="none" w:sz="0" w:space="0" w:color="auto"/>
                                      </w:divBdr>
                                      <w:divsChild>
                                        <w:div w:id="1407149802">
                                          <w:marLeft w:val="0"/>
                                          <w:marRight w:val="0"/>
                                          <w:marTop w:val="0"/>
                                          <w:marBottom w:val="0"/>
                                          <w:divBdr>
                                            <w:top w:val="none" w:sz="0" w:space="0" w:color="auto"/>
                                            <w:left w:val="none" w:sz="0" w:space="0" w:color="auto"/>
                                            <w:bottom w:val="none" w:sz="0" w:space="0" w:color="auto"/>
                                            <w:right w:val="none" w:sz="0" w:space="0" w:color="auto"/>
                                          </w:divBdr>
                                        </w:div>
                                      </w:divsChild>
                                    </w:div>
                                    <w:div w:id="1526752846">
                                      <w:marLeft w:val="0"/>
                                      <w:marRight w:val="0"/>
                                      <w:marTop w:val="0"/>
                                      <w:marBottom w:val="0"/>
                                      <w:divBdr>
                                        <w:top w:val="none" w:sz="0" w:space="0" w:color="auto"/>
                                        <w:left w:val="none" w:sz="0" w:space="0" w:color="auto"/>
                                        <w:bottom w:val="none" w:sz="0" w:space="0" w:color="auto"/>
                                        <w:right w:val="none" w:sz="0" w:space="0" w:color="auto"/>
                                      </w:divBdr>
                                      <w:divsChild>
                                        <w:div w:id="701249926">
                                          <w:marLeft w:val="0"/>
                                          <w:marRight w:val="0"/>
                                          <w:marTop w:val="120"/>
                                          <w:marBottom w:val="0"/>
                                          <w:divBdr>
                                            <w:top w:val="none" w:sz="0" w:space="0" w:color="auto"/>
                                            <w:left w:val="none" w:sz="0" w:space="0" w:color="auto"/>
                                            <w:bottom w:val="none" w:sz="0" w:space="0" w:color="auto"/>
                                            <w:right w:val="none" w:sz="0" w:space="0" w:color="auto"/>
                                          </w:divBdr>
                                        </w:div>
                                      </w:divsChild>
                                    </w:div>
                                    <w:div w:id="1637758496">
                                      <w:marLeft w:val="0"/>
                                      <w:marRight w:val="0"/>
                                      <w:marTop w:val="0"/>
                                      <w:marBottom w:val="0"/>
                                      <w:divBdr>
                                        <w:top w:val="none" w:sz="0" w:space="0" w:color="auto"/>
                                        <w:left w:val="none" w:sz="0" w:space="0" w:color="auto"/>
                                        <w:bottom w:val="none" w:sz="0" w:space="0" w:color="auto"/>
                                        <w:right w:val="none" w:sz="0" w:space="0" w:color="auto"/>
                                      </w:divBdr>
                                      <w:divsChild>
                                        <w:div w:id="1197087645">
                                          <w:marLeft w:val="0"/>
                                          <w:marRight w:val="0"/>
                                          <w:marTop w:val="0"/>
                                          <w:marBottom w:val="0"/>
                                          <w:divBdr>
                                            <w:top w:val="none" w:sz="0" w:space="0" w:color="auto"/>
                                            <w:left w:val="none" w:sz="0" w:space="0" w:color="auto"/>
                                            <w:bottom w:val="none" w:sz="0" w:space="0" w:color="auto"/>
                                            <w:right w:val="none" w:sz="0" w:space="0" w:color="auto"/>
                                          </w:divBdr>
                                        </w:div>
                                      </w:divsChild>
                                    </w:div>
                                    <w:div w:id="2107380078">
                                      <w:marLeft w:val="0"/>
                                      <w:marRight w:val="0"/>
                                      <w:marTop w:val="0"/>
                                      <w:marBottom w:val="0"/>
                                      <w:divBdr>
                                        <w:top w:val="none" w:sz="0" w:space="0" w:color="auto"/>
                                        <w:left w:val="none" w:sz="0" w:space="0" w:color="auto"/>
                                        <w:bottom w:val="none" w:sz="0" w:space="0" w:color="auto"/>
                                        <w:right w:val="none" w:sz="0" w:space="0" w:color="auto"/>
                                      </w:divBdr>
                                      <w:divsChild>
                                        <w:div w:id="715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7106707">
      <w:bodyDiv w:val="1"/>
      <w:marLeft w:val="0"/>
      <w:marRight w:val="0"/>
      <w:marTop w:val="0"/>
      <w:marBottom w:val="0"/>
      <w:divBdr>
        <w:top w:val="none" w:sz="0" w:space="0" w:color="auto"/>
        <w:left w:val="none" w:sz="0" w:space="0" w:color="auto"/>
        <w:bottom w:val="none" w:sz="0" w:space="0" w:color="auto"/>
        <w:right w:val="none" w:sz="0" w:space="0" w:color="auto"/>
      </w:divBdr>
    </w:div>
    <w:div w:id="2040818250">
      <w:bodyDiv w:val="1"/>
      <w:marLeft w:val="0"/>
      <w:marRight w:val="0"/>
      <w:marTop w:val="0"/>
      <w:marBottom w:val="0"/>
      <w:divBdr>
        <w:top w:val="none" w:sz="0" w:space="0" w:color="auto"/>
        <w:left w:val="none" w:sz="0" w:space="0" w:color="auto"/>
        <w:bottom w:val="none" w:sz="0" w:space="0" w:color="auto"/>
        <w:right w:val="none" w:sz="0" w:space="0" w:color="auto"/>
      </w:divBdr>
    </w:div>
    <w:div w:id="2077237046">
      <w:bodyDiv w:val="1"/>
      <w:marLeft w:val="0"/>
      <w:marRight w:val="0"/>
      <w:marTop w:val="0"/>
      <w:marBottom w:val="0"/>
      <w:divBdr>
        <w:top w:val="none" w:sz="0" w:space="0" w:color="auto"/>
        <w:left w:val="none" w:sz="0" w:space="0" w:color="auto"/>
        <w:bottom w:val="none" w:sz="0" w:space="0" w:color="auto"/>
        <w:right w:val="none" w:sz="0" w:space="0" w:color="auto"/>
      </w:divBdr>
    </w:div>
    <w:div w:id="212569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si/novice/2024-03-13-javna-obravnava-predloga-zakona-o-izvajanju-uredbe-eu-o-evropskem-upravljanju-podatk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naih.hu/about-the-authority"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newsroom/dae/redirection/document/98966" TargetMode="External"/><Relationship Id="rId5" Type="http://schemas.openxmlformats.org/officeDocument/2006/relationships/numbering" Target="numbering.xml"/><Relationship Id="rId15" Type="http://schemas.openxmlformats.org/officeDocument/2006/relationships/hyperlink" Target="mailto:gp.mdp@gov.si"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prava.gov.si/si/drzava-in-druzba/e-demokracija/predlogi-predpisov/predlog-predpisa.html?id=16540"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NAVODILA%20IN%20OBRAZCI%20SIT\CGP%20SVRK\Dopisne%20predloge\dopisna%20predloga_nova%20vladna%20sluzba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8AED8ABC094547AA9AF798C89ACFF3" ma:contentTypeVersion="2" ma:contentTypeDescription="Create a new document." ma:contentTypeScope="" ma:versionID="53bc2ff135f3e965a44f5a4ff2b5ae59">
  <xsd:schema xmlns:xsd="http://www.w3.org/2001/XMLSchema" xmlns:xs="http://www.w3.org/2001/XMLSchema" xmlns:p="http://schemas.microsoft.com/office/2006/metadata/properties" xmlns:ns2="b7f53141-13b8-4346-860f-9abbf1ea4220" targetNamespace="http://schemas.microsoft.com/office/2006/metadata/properties" ma:root="true" ma:fieldsID="90f323b5116631841b51e98f24e81fa9" ns2:_="">
    <xsd:import namespace="b7f53141-13b8-4346-860f-9abbf1ea422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53141-13b8-4346-860f-9abbf1ea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Standard 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D3ECC9-38F7-4E44-95DA-ECAA0A02FE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651A9D-739B-4ACB-B230-D250A2310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53141-13b8-4346-860f-9abbf1ea42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3E889D-7531-484D-9DC6-BE7DE04E403A}">
  <ds:schemaRefs>
    <ds:schemaRef ds:uri="http://schemas.openxmlformats.org/officeDocument/2006/bibliography"/>
  </ds:schemaRefs>
</ds:datastoreItem>
</file>

<file path=customXml/itemProps4.xml><?xml version="1.0" encoding="utf-8"?>
<ds:datastoreItem xmlns:ds="http://schemas.openxmlformats.org/officeDocument/2006/customXml" ds:itemID="{778B0450-17F3-4BD9-94B4-85848F7F2E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dopisna predloga_nova vladna sluzba_SLO.dotx</Template>
  <TotalTime>1</TotalTime>
  <Pages>3</Pages>
  <Words>13365</Words>
  <Characters>76181</Characters>
  <Application>Microsoft Office Word</Application>
  <DocSecurity>4</DocSecurity>
  <Lines>634</Lines>
  <Paragraphs>178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89368</CharactersWithSpaces>
  <SharedDoc>false</SharedDoc>
  <HLinks>
    <vt:vector size="6" baseType="variant">
      <vt:variant>
        <vt:i4>3276882</vt:i4>
      </vt:variant>
      <vt:variant>
        <vt:i4>0</vt:i4>
      </vt:variant>
      <vt:variant>
        <vt:i4>0</vt:i4>
      </vt:variant>
      <vt:variant>
        <vt:i4>5</vt:i4>
      </vt:variant>
      <vt:variant>
        <vt:lpwstr>mailto:mail.naslovnik@gov.si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cp:keywords/>
  <cp:lastModifiedBy>Ana Plavčak</cp:lastModifiedBy>
  <cp:revision>2</cp:revision>
  <cp:lastPrinted>2023-10-11T05:35:00Z</cp:lastPrinted>
  <dcterms:created xsi:type="dcterms:W3CDTF">2024-07-03T09:19:00Z</dcterms:created>
  <dcterms:modified xsi:type="dcterms:W3CDTF">2024-07-03T09:19:00Z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0x010100448AED8ABC094547AA9AF798C89ACFF3</vt:lpwstr>
  </property>
</Properties>
</file>